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03E7C">
      <w:pPr>
        <w:overflowPunct w:val="0"/>
        <w:autoSpaceDE w:val="0"/>
        <w:autoSpaceDN w:val="0"/>
        <w:spacing w:line="590" w:lineRule="exact"/>
        <w:jc w:val="center"/>
        <w:rPr>
          <w:rFonts w:ascii="方正小标宋_GBK" w:hAnsi="方正小标宋简体" w:eastAsia="方正小标宋_GBK" w:cs="方正小标宋简体"/>
          <w:color w:val="000000" w:themeColor="text1"/>
          <w:sz w:val="44"/>
          <w:szCs w:val="44"/>
          <w14:textFill>
            <w14:solidFill>
              <w14:schemeClr w14:val="tx1"/>
            </w14:solidFill>
          </w14:textFill>
        </w:rPr>
      </w:pPr>
    </w:p>
    <w:p w14:paraId="795F198D">
      <w:pPr>
        <w:overflowPunct w:val="0"/>
        <w:autoSpaceDE w:val="0"/>
        <w:autoSpaceDN w:val="0"/>
        <w:spacing w:line="590" w:lineRule="exact"/>
        <w:jc w:val="center"/>
        <w:rPr>
          <w:rFonts w:hint="eastAsia" w:ascii="方正小标宋_GBK" w:hAnsi="方正小标宋简体" w:eastAsia="方正小标宋_GBK" w:cs="方正小标宋简体"/>
          <w:color w:val="000000" w:themeColor="text1"/>
          <w:sz w:val="44"/>
          <w:szCs w:val="44"/>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14:textFill>
            <w14:solidFill>
              <w14:schemeClr w14:val="tx1"/>
            </w14:solidFill>
          </w14:textFill>
        </w:rPr>
        <w:t>第十四届中国创新创业大赛柔性电子技术</w:t>
      </w:r>
    </w:p>
    <w:p w14:paraId="50642424">
      <w:pPr>
        <w:overflowPunct w:val="0"/>
        <w:autoSpaceDE w:val="0"/>
        <w:autoSpaceDN w:val="0"/>
        <w:spacing w:line="590" w:lineRule="exact"/>
        <w:jc w:val="center"/>
        <w:rPr>
          <w:rFonts w:hint="eastAsia" w:ascii="方正小标宋_GBK" w:hAnsi="方正小标宋简体" w:eastAsia="方正小标宋_GBK" w:cs="方正小标宋简体"/>
          <w:color w:val="000000" w:themeColor="text1"/>
          <w:sz w:val="44"/>
          <w:szCs w:val="44"/>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14:textFill>
            <w14:solidFill>
              <w14:schemeClr w14:val="tx1"/>
            </w14:solidFill>
          </w14:textFill>
        </w:rPr>
        <w:t>专业赛组织方案</w:t>
      </w:r>
    </w:p>
    <w:p w14:paraId="2CCB64E7">
      <w:pPr>
        <w:overflowPunct w:val="0"/>
        <w:autoSpaceDE w:val="0"/>
        <w:autoSpaceDN w:val="0"/>
        <w:spacing w:line="590" w:lineRule="exact"/>
        <w:rPr>
          <w:rFonts w:ascii="Times New Roman" w:hAnsi="Times New Roman" w:eastAsia="方正仿宋_GBK" w:cs="Times New Roman"/>
          <w:color w:val="000000" w:themeColor="text1"/>
          <w:sz w:val="34"/>
          <w:szCs w:val="34"/>
          <w14:textFill>
            <w14:solidFill>
              <w14:schemeClr w14:val="tx1"/>
            </w14:solidFill>
          </w14:textFill>
        </w:rPr>
      </w:pPr>
    </w:p>
    <w:p w14:paraId="11EAB402">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为贯彻落实党的二十大关于“加快实现高水平科技自立自强”战略部署，深度融入长三角柔性电子产业协同创新网络，紧扣盐城高新区“产业创新引领区”目标定位，根据工业和信息化部火炬中心《关于举办第十四届中国创新创业大赛的通知》有关要求和部署，将举办第十四届中国创新创业大赛柔性电子技术专业赛（以下简称大赛）。</w:t>
      </w:r>
    </w:p>
    <w:p w14:paraId="74086C24">
      <w:pPr>
        <w:overflowPunct w:val="0"/>
        <w:autoSpaceDE w:val="0"/>
        <w:autoSpaceDN w:val="0"/>
        <w:spacing w:line="590" w:lineRule="exact"/>
        <w:ind w:firstLine="680" w:firstLineChars="200"/>
        <w:rPr>
          <w:rFonts w:hint="eastAsia" w:ascii="方正仿宋_GBK" w:hAnsi="黑体" w:eastAsia="方正仿宋_GBK" w:cs="黑体"/>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大赛聚焦柔性电子新兴产业重点领域，涵盖</w:t>
      </w:r>
      <w:bookmarkStart w:id="0" w:name="_Hlk195538131"/>
      <w:r>
        <w:rPr>
          <w:rFonts w:hint="eastAsia" w:ascii="方正仿宋_GBK" w:hAnsi="仿宋_GB2312" w:eastAsia="方正仿宋_GBK" w:cs="仿宋_GB2312"/>
          <w:color w:val="000000" w:themeColor="text1"/>
          <w:sz w:val="34"/>
          <w:szCs w:val="34"/>
          <w14:textFill>
            <w14:solidFill>
              <w14:schemeClr w14:val="tx1"/>
            </w14:solidFill>
          </w14:textFill>
        </w:rPr>
        <w:t>柔性电子显示技术、柔性储能技术、柔性电子设备</w:t>
      </w:r>
      <w:bookmarkEnd w:id="0"/>
      <w:r>
        <w:rPr>
          <w:rFonts w:hint="eastAsia" w:ascii="方正仿宋_GBK" w:hAnsi="仿宋_GB2312" w:eastAsia="方正仿宋_GBK" w:cs="仿宋_GB2312"/>
          <w:color w:val="000000" w:themeColor="text1"/>
          <w:sz w:val="34"/>
          <w:szCs w:val="34"/>
          <w14:textFill>
            <w14:solidFill>
              <w14:schemeClr w14:val="tx1"/>
            </w14:solidFill>
          </w14:textFill>
        </w:rPr>
        <w:t>等应用方向，推动创新链、产业链、资金链、人才链深度融合，强化企业战略科技力量，助推柔性电子技术关键核心技术攻关，构建企业主导产学研深度融合的创新要素集聚平台，持续推进淮河生态经济带高新区联盟产业协同创新和区域协调发展，赋能产业发展，提升产业发展现代化水平，为推进新质生产力发展提供有力支撑。</w:t>
      </w:r>
    </w:p>
    <w:p w14:paraId="0229A2DC">
      <w:pPr>
        <w:overflowPunct w:val="0"/>
        <w:autoSpaceDE w:val="0"/>
        <w:autoSpaceDN w:val="0"/>
        <w:spacing w:line="590" w:lineRule="exact"/>
        <w:ind w:firstLine="680" w:firstLineChars="200"/>
        <w:rPr>
          <w:rFonts w:hint="eastAsia" w:ascii="方正黑体_GBK" w:hAnsi="仿宋_GB2312" w:eastAsia="方正黑体_GBK" w:cs="仿宋_GB2312"/>
          <w:color w:val="000000" w:themeColor="text1"/>
          <w:sz w:val="34"/>
          <w:szCs w:val="34"/>
          <w14:textFill>
            <w14:solidFill>
              <w14:schemeClr w14:val="tx1"/>
            </w14:solidFill>
          </w14:textFill>
        </w:rPr>
      </w:pPr>
      <w:r>
        <w:rPr>
          <w:rFonts w:hint="eastAsia" w:ascii="方正黑体_GBK" w:hAnsi="仿宋_GB2312" w:eastAsia="方正黑体_GBK" w:cs="仿宋_GB2312"/>
          <w:color w:val="000000" w:themeColor="text1"/>
          <w:sz w:val="34"/>
          <w:szCs w:val="34"/>
          <w14:textFill>
            <w14:solidFill>
              <w14:schemeClr w14:val="tx1"/>
            </w14:solidFill>
          </w14:textFill>
        </w:rPr>
        <w:t>一、大赛主题</w:t>
      </w:r>
    </w:p>
    <w:p w14:paraId="1259761E">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柔性赋能·技创未来</w:t>
      </w:r>
    </w:p>
    <w:p w14:paraId="0D15061D">
      <w:pPr>
        <w:overflowPunct w:val="0"/>
        <w:autoSpaceDE w:val="0"/>
        <w:autoSpaceDN w:val="0"/>
        <w:spacing w:line="590" w:lineRule="exact"/>
        <w:ind w:firstLine="680" w:firstLineChars="200"/>
        <w:rPr>
          <w:rFonts w:hint="eastAsia" w:ascii="方正黑体_GBK" w:hAnsi="仿宋_GB2312" w:eastAsia="方正黑体_GBK" w:cs="仿宋_GB2312"/>
          <w:color w:val="000000" w:themeColor="text1"/>
          <w:sz w:val="34"/>
          <w:szCs w:val="34"/>
          <w14:textFill>
            <w14:solidFill>
              <w14:schemeClr w14:val="tx1"/>
            </w14:solidFill>
          </w14:textFill>
        </w:rPr>
      </w:pPr>
      <w:r>
        <w:rPr>
          <w:rFonts w:hint="eastAsia" w:ascii="方正黑体_GBK" w:hAnsi="仿宋_GB2312" w:eastAsia="方正黑体_GBK" w:cs="仿宋_GB2312"/>
          <w:color w:val="000000" w:themeColor="text1"/>
          <w:sz w:val="34"/>
          <w:szCs w:val="34"/>
          <w14:textFill>
            <w14:solidFill>
              <w14:schemeClr w14:val="tx1"/>
            </w14:solidFill>
          </w14:textFill>
        </w:rPr>
        <w:t>二、组织机构</w:t>
      </w:r>
    </w:p>
    <w:p w14:paraId="7A984D44">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（一）主办单位</w:t>
      </w:r>
    </w:p>
    <w:p w14:paraId="3FD91586">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工业和信息化部火炬高技术产业开发中心</w:t>
      </w:r>
    </w:p>
    <w:p w14:paraId="061B9E35">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盐城市人民政府</w:t>
      </w:r>
    </w:p>
    <w:p w14:paraId="6C9119A3">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（二）承办单位</w:t>
      </w:r>
    </w:p>
    <w:p w14:paraId="15917FDF">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工业和信息化部火炬中心长三角中心</w:t>
      </w:r>
    </w:p>
    <w:p w14:paraId="09E35905">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盐城高新技术产业开发区管理委员会</w:t>
      </w:r>
    </w:p>
    <w:p w14:paraId="71DAC179">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（三）组委会及秘书处</w:t>
      </w:r>
    </w:p>
    <w:p w14:paraId="703D22AF">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大赛组委会由大赛主办单位、承办单位共同组成，负责赛事组织工作。组委会下设办公室，负责大赛各项工作的具体执行，办公室设在盐城高新技术产业开发区管理委员会。本赛事组织方案由组委会负责解释。</w:t>
      </w:r>
    </w:p>
    <w:p w14:paraId="74688AC8">
      <w:pPr>
        <w:overflowPunct w:val="0"/>
        <w:autoSpaceDE w:val="0"/>
        <w:autoSpaceDN w:val="0"/>
        <w:spacing w:line="590" w:lineRule="exact"/>
        <w:ind w:firstLine="680" w:firstLineChars="200"/>
        <w:rPr>
          <w:rFonts w:hint="eastAsia" w:ascii="方正黑体_GBK" w:hAnsi="仿宋_GB2312" w:eastAsia="方正黑体_GBK" w:cs="仿宋_GB2312"/>
          <w:color w:val="000000" w:themeColor="text1"/>
          <w:sz w:val="34"/>
          <w:szCs w:val="34"/>
          <w14:textFill>
            <w14:solidFill>
              <w14:schemeClr w14:val="tx1"/>
            </w14:solidFill>
          </w14:textFill>
        </w:rPr>
      </w:pPr>
      <w:r>
        <w:rPr>
          <w:rFonts w:hint="eastAsia" w:ascii="方正黑体_GBK" w:hAnsi="仿宋_GB2312" w:eastAsia="方正黑体_GBK" w:cs="仿宋_GB2312"/>
          <w:color w:val="000000" w:themeColor="text1"/>
          <w:sz w:val="34"/>
          <w:szCs w:val="34"/>
          <w14:textFill>
            <w14:solidFill>
              <w14:schemeClr w14:val="tx1"/>
            </w14:solidFill>
          </w14:textFill>
        </w:rPr>
        <w:t>三、大赛内容及参赛要求</w:t>
      </w:r>
    </w:p>
    <w:p w14:paraId="69A11A8E">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（一）赛题方向</w:t>
      </w:r>
    </w:p>
    <w:p w14:paraId="6484BC2F">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本专业赛以柔性电子领域的前沿引领技术及关键共性技术研发与应用为核心，重点围绕柔性电子技术在创新应用、先进材料、行业解决方案、大数据集成等方向的研发突破及应用实践、模式创新进行，挖掘柔性电子技术跨学科研发应用的深度价值与意义，聚焦产业融合大趋势下柔性电子领域的技术创新与产业链融通。重点围绕以下赛题方向：</w:t>
      </w:r>
    </w:p>
    <w:p w14:paraId="533447EA">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柔性电子材料：聚焦柔性电子产业上游材料的研发与创新，包括高性能柔性基底材料、导电材料、纳米复合材料等；</w:t>
      </w:r>
    </w:p>
    <w:p w14:paraId="17B7CAFB">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柔性显示与智能终端：聚焦柔性显示技术的创新升级，如柔性OLED、Micro-LED显示技术，以及可折叠/卷曲智能终端（如手机、平板、汽车）等；</w:t>
      </w:r>
    </w:p>
    <w:p w14:paraId="00F2B30A">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柔性电池与新能源：聚焦柔性电池与新能源技术的融合，开发柔性电池、超级电容器等新型能源存储设备</w:t>
      </w:r>
      <w:r>
        <w:rPr>
          <w:rFonts w:hint="eastAsia" w:ascii="方正仿宋_GBK" w:hAnsi="仿宋_GB2312" w:eastAsia="方正仿宋_GBK" w:cs="仿宋_GB2312"/>
          <w:color w:val="000000" w:themeColor="text1"/>
          <w:sz w:val="34"/>
          <w:szCs w:val="34"/>
          <w:highlight w:val="none"/>
          <w14:textFill>
            <w14:solidFill>
              <w14:schemeClr w14:val="tx1"/>
            </w14:solidFill>
          </w14:textFill>
        </w:rPr>
        <w:t>等</w:t>
      </w:r>
      <w:r>
        <w:rPr>
          <w:rFonts w:hint="eastAsia" w:ascii="方正仿宋_GBK" w:hAnsi="仿宋_GB2312" w:eastAsia="方正仿宋_GBK" w:cs="仿宋_GB2312"/>
          <w:color w:val="000000" w:themeColor="text1"/>
          <w:sz w:val="34"/>
          <w:szCs w:val="34"/>
          <w14:textFill>
            <w14:solidFill>
              <w14:schemeClr w14:val="tx1"/>
            </w14:solidFill>
          </w14:textFill>
        </w:rPr>
        <w:t>；</w:t>
      </w:r>
    </w:p>
    <w:p w14:paraId="79CB2E6B">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柔性电路与物联网：探索柔性电子技术在物联网领域的应用，如可柔性电路板、及其下游的</w:t>
      </w:r>
      <w:r>
        <w:rPr>
          <w:rFonts w:ascii="Times New Roman" w:hAnsi="Times New Roman" w:eastAsia="方正仿宋_GBK" w:cs="Times New Roman"/>
          <w:color w:val="000000" w:themeColor="text1"/>
          <w:sz w:val="34"/>
          <w:szCs w:val="34"/>
          <w14:textFill>
            <w14:solidFill>
              <w14:schemeClr w14:val="tx1"/>
            </w14:solidFill>
          </w14:textFill>
        </w:rPr>
        <w:t>RFID标</w:t>
      </w:r>
      <w:r>
        <w:rPr>
          <w:rFonts w:hint="eastAsia" w:ascii="方正仿宋_GBK" w:hAnsi="仿宋_GB2312" w:eastAsia="方正仿宋_GBK" w:cs="仿宋_GB2312"/>
          <w:color w:val="000000" w:themeColor="text1"/>
          <w:sz w:val="34"/>
          <w:szCs w:val="34"/>
          <w14:textFill>
            <w14:solidFill>
              <w14:schemeClr w14:val="tx1"/>
            </w14:solidFill>
          </w14:textFill>
        </w:rPr>
        <w:t>签等。</w:t>
      </w:r>
    </w:p>
    <w:p w14:paraId="02C0AA06">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（二）参赛要求</w:t>
      </w:r>
    </w:p>
    <w:p w14:paraId="34475D74">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参赛项目需符合专业赛设定的专业方向，项目产品具有一定的技术成熟度或已实际生产，或项目已进入市场，具有良好的发展潜力。具体要求如下：</w:t>
      </w:r>
    </w:p>
    <w:p w14:paraId="30D90A9A">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1、参赛企业应符合参赛专业方向，主要面向柔性电子相关产业，并具有创新能力和高成长潜力。</w:t>
      </w:r>
    </w:p>
    <w:p w14:paraId="1178902A">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2、参赛主体的相关资料必须真实、有效、合法，且社会信誉良好，无不良记录。若参赛主体为企业，应拥有自主知识产权（知识产权已授权）且无产权纠纷，且为非上市企业。</w:t>
      </w:r>
    </w:p>
    <w:p w14:paraId="593F430B">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（三）主要评价指标</w:t>
      </w:r>
    </w:p>
    <w:p w14:paraId="6AFBE824">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项目的原创性；技术创新性、成熟度、行业先进性和关键技术自主可控；实际落地应用实践效果；在柔性电子领域的竞争优势；过往融资历史及产业化程度；团队的教育背景、行业背景等；具备落地盐城高新区的意愿及可能性。</w:t>
      </w:r>
    </w:p>
    <w:p w14:paraId="5D05A38A">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评分具体比例及标准如下：</w:t>
      </w:r>
    </w:p>
    <w:tbl>
      <w:tblPr>
        <w:tblStyle w:val="7"/>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60"/>
        <w:gridCol w:w="900"/>
        <w:gridCol w:w="907"/>
        <w:gridCol w:w="4561"/>
      </w:tblGrid>
      <w:tr w14:paraId="0C70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3C5FC5B7">
            <w:pPr>
              <w:overflowPunct w:val="0"/>
              <w:autoSpaceDE w:val="0"/>
              <w:autoSpaceDN w:val="0"/>
              <w:spacing w:line="590" w:lineRule="exact"/>
              <w:rPr>
                <w:rFonts w:hint="eastAsia" w:ascii="方正黑体_GBK" w:hAnsi="Times New Roman" w:eastAsia="方正黑体_GBK" w:cs="Times New Roman"/>
                <w:color w:val="000000" w:themeColor="text1"/>
                <w:sz w:val="34"/>
                <w:szCs w:val="34"/>
                <w14:textFill>
                  <w14:solidFill>
                    <w14:schemeClr w14:val="tx1"/>
                  </w14:solidFill>
                </w14:textFill>
              </w:rPr>
            </w:pPr>
            <w:r>
              <w:rPr>
                <w:rFonts w:hint="eastAsia" w:ascii="方正黑体_GBK" w:hAnsi="Times New Roman" w:eastAsia="方正黑体_GBK" w:cs="Times New Roman"/>
                <w:color w:val="000000" w:themeColor="text1"/>
                <w:sz w:val="34"/>
                <w:szCs w:val="34"/>
                <w14:textFill>
                  <w14:solidFill>
                    <w14:schemeClr w14:val="tx1"/>
                  </w14:solidFill>
                </w14:textFill>
              </w:rPr>
              <w:t>序号</w:t>
            </w:r>
          </w:p>
        </w:tc>
        <w:tc>
          <w:tcPr>
            <w:tcW w:w="1960" w:type="dxa"/>
          </w:tcPr>
          <w:p w14:paraId="4130DC7D">
            <w:pPr>
              <w:overflowPunct w:val="0"/>
              <w:autoSpaceDE w:val="0"/>
              <w:autoSpaceDN w:val="0"/>
              <w:spacing w:line="590" w:lineRule="exact"/>
              <w:rPr>
                <w:rFonts w:hint="eastAsia" w:ascii="方正黑体_GBK" w:hAnsi="Times New Roman" w:eastAsia="方正黑体_GBK" w:cs="Times New Roman"/>
                <w:color w:val="000000" w:themeColor="text1"/>
                <w:sz w:val="34"/>
                <w:szCs w:val="34"/>
                <w14:textFill>
                  <w14:solidFill>
                    <w14:schemeClr w14:val="tx1"/>
                  </w14:solidFill>
                </w14:textFill>
              </w:rPr>
            </w:pPr>
            <w:r>
              <w:rPr>
                <w:rFonts w:hint="eastAsia" w:ascii="方正黑体_GBK" w:hAnsi="Times New Roman" w:eastAsia="方正黑体_GBK" w:cs="Times New Roman"/>
                <w:color w:val="000000" w:themeColor="text1"/>
                <w:sz w:val="34"/>
                <w:szCs w:val="34"/>
                <w14:textFill>
                  <w14:solidFill>
                    <w14:schemeClr w14:val="tx1"/>
                  </w14:solidFill>
                </w14:textFill>
              </w:rPr>
              <w:t>评分项</w:t>
            </w:r>
          </w:p>
        </w:tc>
        <w:tc>
          <w:tcPr>
            <w:tcW w:w="900" w:type="dxa"/>
          </w:tcPr>
          <w:p w14:paraId="0A878D8A">
            <w:pPr>
              <w:overflowPunct w:val="0"/>
              <w:autoSpaceDE w:val="0"/>
              <w:autoSpaceDN w:val="0"/>
              <w:spacing w:line="590" w:lineRule="exact"/>
              <w:rPr>
                <w:rFonts w:hint="eastAsia" w:ascii="方正黑体_GBK" w:hAnsi="Times New Roman" w:eastAsia="方正黑体_GBK" w:cs="Times New Roman"/>
                <w:color w:val="000000" w:themeColor="text1"/>
                <w:sz w:val="34"/>
                <w:szCs w:val="34"/>
                <w14:textFill>
                  <w14:solidFill>
                    <w14:schemeClr w14:val="tx1"/>
                  </w14:solidFill>
                </w14:textFill>
              </w:rPr>
            </w:pPr>
            <w:r>
              <w:rPr>
                <w:rFonts w:hint="eastAsia" w:ascii="方正黑体_GBK" w:hAnsi="Times New Roman" w:eastAsia="方正黑体_GBK" w:cs="Times New Roman"/>
                <w:color w:val="000000" w:themeColor="text1"/>
                <w:sz w:val="34"/>
                <w:szCs w:val="34"/>
                <w14:textFill>
                  <w14:solidFill>
                    <w14:schemeClr w14:val="tx1"/>
                  </w14:solidFill>
                </w14:textFill>
              </w:rPr>
              <w:t>权重</w:t>
            </w:r>
          </w:p>
        </w:tc>
        <w:tc>
          <w:tcPr>
            <w:tcW w:w="907" w:type="dxa"/>
          </w:tcPr>
          <w:p w14:paraId="0D4DB0B7">
            <w:pPr>
              <w:overflowPunct w:val="0"/>
              <w:autoSpaceDE w:val="0"/>
              <w:autoSpaceDN w:val="0"/>
              <w:spacing w:line="590" w:lineRule="exact"/>
              <w:rPr>
                <w:rFonts w:hint="eastAsia" w:ascii="方正黑体_GBK" w:hAnsi="Times New Roman" w:eastAsia="方正黑体_GBK" w:cs="Times New Roman"/>
                <w:color w:val="000000" w:themeColor="text1"/>
                <w:sz w:val="34"/>
                <w:szCs w:val="34"/>
                <w14:textFill>
                  <w14:solidFill>
                    <w14:schemeClr w14:val="tx1"/>
                  </w14:solidFill>
                </w14:textFill>
              </w:rPr>
            </w:pPr>
            <w:r>
              <w:rPr>
                <w:rFonts w:hint="eastAsia" w:ascii="方正黑体_GBK" w:hAnsi="Times New Roman" w:eastAsia="方正黑体_GBK" w:cs="Times New Roman"/>
                <w:color w:val="000000" w:themeColor="text1"/>
                <w:sz w:val="34"/>
                <w:szCs w:val="34"/>
                <w14:textFill>
                  <w14:solidFill>
                    <w14:schemeClr w14:val="tx1"/>
                  </w14:solidFill>
                </w14:textFill>
              </w:rPr>
              <w:t>分值</w:t>
            </w:r>
          </w:p>
        </w:tc>
        <w:tc>
          <w:tcPr>
            <w:tcW w:w="4561" w:type="dxa"/>
          </w:tcPr>
          <w:p w14:paraId="78811E31">
            <w:pPr>
              <w:overflowPunct w:val="0"/>
              <w:autoSpaceDE w:val="0"/>
              <w:autoSpaceDN w:val="0"/>
              <w:spacing w:line="590" w:lineRule="exact"/>
              <w:rPr>
                <w:rFonts w:hint="eastAsia" w:ascii="方正黑体_GBK" w:hAnsi="Times New Roman" w:eastAsia="方正黑体_GBK" w:cs="Times New Roman"/>
                <w:color w:val="000000" w:themeColor="text1"/>
                <w:sz w:val="34"/>
                <w:szCs w:val="34"/>
                <w14:textFill>
                  <w14:solidFill>
                    <w14:schemeClr w14:val="tx1"/>
                  </w14:solidFill>
                </w14:textFill>
              </w:rPr>
            </w:pPr>
            <w:r>
              <w:rPr>
                <w:rFonts w:hint="eastAsia" w:ascii="方正黑体_GBK" w:hAnsi="Times New Roman" w:eastAsia="方正黑体_GBK" w:cs="Times New Roman"/>
                <w:color w:val="000000" w:themeColor="text1"/>
                <w:sz w:val="34"/>
                <w:szCs w:val="34"/>
                <w14:textFill>
                  <w14:solidFill>
                    <w14:schemeClr w14:val="tx1"/>
                  </w14:solidFill>
                </w14:textFill>
              </w:rPr>
              <w:t>评分细则</w:t>
            </w:r>
          </w:p>
        </w:tc>
      </w:tr>
      <w:tr w14:paraId="7D95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44FF8C77">
            <w:pPr>
              <w:overflowPunct w:val="0"/>
              <w:autoSpaceDE w:val="0"/>
              <w:autoSpaceDN w:val="0"/>
              <w:spacing w:line="560" w:lineRule="exact"/>
              <w:jc w:val="center"/>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w:t>
            </w:r>
          </w:p>
        </w:tc>
        <w:tc>
          <w:tcPr>
            <w:tcW w:w="1960" w:type="dxa"/>
          </w:tcPr>
          <w:p w14:paraId="1ABC79EA">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技术和产品</w:t>
            </w:r>
          </w:p>
        </w:tc>
        <w:tc>
          <w:tcPr>
            <w:tcW w:w="900" w:type="dxa"/>
          </w:tcPr>
          <w:p w14:paraId="4B9DC0D3">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20%</w:t>
            </w:r>
          </w:p>
        </w:tc>
        <w:tc>
          <w:tcPr>
            <w:tcW w:w="907" w:type="dxa"/>
          </w:tcPr>
          <w:p w14:paraId="7DFB4F0B">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10</w:t>
            </w:r>
          </w:p>
        </w:tc>
        <w:tc>
          <w:tcPr>
            <w:tcW w:w="4561" w:type="dxa"/>
          </w:tcPr>
          <w:p w14:paraId="2D144485">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根据项目的技术壁垒、专利申请情况、研发人员数量、产品研发进度进行评分</w:t>
            </w:r>
          </w:p>
        </w:tc>
      </w:tr>
      <w:tr w14:paraId="3412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68CEF2F6">
            <w:pPr>
              <w:overflowPunct w:val="0"/>
              <w:autoSpaceDE w:val="0"/>
              <w:autoSpaceDN w:val="0"/>
              <w:spacing w:line="560" w:lineRule="exact"/>
              <w:jc w:val="center"/>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w:t>
            </w:r>
          </w:p>
        </w:tc>
        <w:tc>
          <w:tcPr>
            <w:tcW w:w="1960" w:type="dxa"/>
          </w:tcPr>
          <w:p w14:paraId="664BC3AC">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产业匹配程度</w:t>
            </w:r>
          </w:p>
        </w:tc>
        <w:tc>
          <w:tcPr>
            <w:tcW w:w="900" w:type="dxa"/>
          </w:tcPr>
          <w:p w14:paraId="039E8471">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5%</w:t>
            </w:r>
          </w:p>
        </w:tc>
        <w:tc>
          <w:tcPr>
            <w:tcW w:w="907" w:type="dxa"/>
          </w:tcPr>
          <w:p w14:paraId="734B8630">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10</w:t>
            </w:r>
          </w:p>
        </w:tc>
        <w:tc>
          <w:tcPr>
            <w:tcW w:w="4561" w:type="dxa"/>
          </w:tcPr>
          <w:p w14:paraId="3367E6E9">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根据项目与地方的产业匹配程度与在发展规划进行评分</w:t>
            </w:r>
          </w:p>
        </w:tc>
      </w:tr>
      <w:tr w14:paraId="2669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3A895809">
            <w:pPr>
              <w:overflowPunct w:val="0"/>
              <w:autoSpaceDE w:val="0"/>
              <w:autoSpaceDN w:val="0"/>
              <w:spacing w:line="560" w:lineRule="exact"/>
              <w:jc w:val="center"/>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3</w:t>
            </w:r>
          </w:p>
        </w:tc>
        <w:tc>
          <w:tcPr>
            <w:tcW w:w="1960" w:type="dxa"/>
          </w:tcPr>
          <w:p w14:paraId="42031D79">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商业模式和实施方案</w:t>
            </w:r>
          </w:p>
        </w:tc>
        <w:tc>
          <w:tcPr>
            <w:tcW w:w="900" w:type="dxa"/>
          </w:tcPr>
          <w:p w14:paraId="0C8E7A62">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20%</w:t>
            </w:r>
          </w:p>
        </w:tc>
        <w:tc>
          <w:tcPr>
            <w:tcW w:w="907" w:type="dxa"/>
          </w:tcPr>
          <w:p w14:paraId="50F9C9C2">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10</w:t>
            </w:r>
          </w:p>
        </w:tc>
        <w:tc>
          <w:tcPr>
            <w:tcW w:w="4561" w:type="dxa"/>
          </w:tcPr>
          <w:p w14:paraId="19BDEE3F">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根据商业模式的可行性、可复制性、可推广性进行评分</w:t>
            </w:r>
          </w:p>
        </w:tc>
      </w:tr>
      <w:tr w14:paraId="2FFD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3E47DCF4">
            <w:pPr>
              <w:overflowPunct w:val="0"/>
              <w:autoSpaceDE w:val="0"/>
              <w:autoSpaceDN w:val="0"/>
              <w:spacing w:line="560" w:lineRule="exact"/>
              <w:jc w:val="center"/>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4</w:t>
            </w:r>
          </w:p>
        </w:tc>
        <w:tc>
          <w:tcPr>
            <w:tcW w:w="1960" w:type="dxa"/>
          </w:tcPr>
          <w:p w14:paraId="65F461DE">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行业及市场</w:t>
            </w:r>
          </w:p>
        </w:tc>
        <w:tc>
          <w:tcPr>
            <w:tcW w:w="900" w:type="dxa"/>
          </w:tcPr>
          <w:p w14:paraId="6B5B6AB2">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25%</w:t>
            </w:r>
          </w:p>
        </w:tc>
        <w:tc>
          <w:tcPr>
            <w:tcW w:w="907" w:type="dxa"/>
          </w:tcPr>
          <w:p w14:paraId="2D1921D5">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10</w:t>
            </w:r>
          </w:p>
        </w:tc>
        <w:tc>
          <w:tcPr>
            <w:tcW w:w="4561" w:type="dxa"/>
          </w:tcPr>
          <w:p w14:paraId="3833A2E6">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根据项目所在行业的市场容量、市场格局、竞争对手进行评分</w:t>
            </w:r>
          </w:p>
        </w:tc>
      </w:tr>
      <w:tr w14:paraId="7386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1DAA7C8C">
            <w:pPr>
              <w:overflowPunct w:val="0"/>
              <w:autoSpaceDE w:val="0"/>
              <w:autoSpaceDN w:val="0"/>
              <w:spacing w:line="560" w:lineRule="exact"/>
              <w:jc w:val="center"/>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5</w:t>
            </w:r>
          </w:p>
        </w:tc>
        <w:tc>
          <w:tcPr>
            <w:tcW w:w="1960" w:type="dxa"/>
          </w:tcPr>
          <w:p w14:paraId="3078D1F0">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团队实力</w:t>
            </w:r>
          </w:p>
        </w:tc>
        <w:tc>
          <w:tcPr>
            <w:tcW w:w="900" w:type="dxa"/>
          </w:tcPr>
          <w:p w14:paraId="261ABE2E">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25%</w:t>
            </w:r>
          </w:p>
        </w:tc>
        <w:tc>
          <w:tcPr>
            <w:tcW w:w="907" w:type="dxa"/>
          </w:tcPr>
          <w:p w14:paraId="6AFEA3F4">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10</w:t>
            </w:r>
          </w:p>
        </w:tc>
        <w:tc>
          <w:tcPr>
            <w:tcW w:w="4561" w:type="dxa"/>
          </w:tcPr>
          <w:p w14:paraId="45E4BF27">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根据创始团队的教育背景、行业背景、完整性、磨合度进行评分</w:t>
            </w:r>
          </w:p>
        </w:tc>
      </w:tr>
      <w:tr w14:paraId="3BE8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7842D205">
            <w:pPr>
              <w:overflowPunct w:val="0"/>
              <w:autoSpaceDE w:val="0"/>
              <w:autoSpaceDN w:val="0"/>
              <w:spacing w:line="560" w:lineRule="exact"/>
              <w:jc w:val="center"/>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6</w:t>
            </w:r>
          </w:p>
        </w:tc>
        <w:tc>
          <w:tcPr>
            <w:tcW w:w="1960" w:type="dxa"/>
          </w:tcPr>
          <w:p w14:paraId="367FF557">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财务情况</w:t>
            </w:r>
          </w:p>
        </w:tc>
        <w:tc>
          <w:tcPr>
            <w:tcW w:w="900" w:type="dxa"/>
          </w:tcPr>
          <w:p w14:paraId="65F3D741">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5%</w:t>
            </w:r>
          </w:p>
        </w:tc>
        <w:tc>
          <w:tcPr>
            <w:tcW w:w="907" w:type="dxa"/>
          </w:tcPr>
          <w:p w14:paraId="5695D1D9">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10</w:t>
            </w:r>
          </w:p>
        </w:tc>
        <w:tc>
          <w:tcPr>
            <w:tcW w:w="4561" w:type="dxa"/>
          </w:tcPr>
          <w:p w14:paraId="4CA047A0">
            <w:pPr>
              <w:overflowPunct w:val="0"/>
              <w:autoSpaceDE w:val="0"/>
              <w:autoSpaceDN w:val="0"/>
              <w:spacing w:line="560" w:lineRule="exact"/>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根据目前项目的业务收入、获客成本、财务模型、利润率给予评分</w:t>
            </w:r>
          </w:p>
        </w:tc>
      </w:tr>
    </w:tbl>
    <w:p w14:paraId="66079CD3">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评分可分为6个单项，每个单项分值10分，最终得分=∑单项得分x权重</w:t>
      </w:r>
    </w:p>
    <w:p w14:paraId="4D182B02">
      <w:pPr>
        <w:overflowPunct w:val="0"/>
        <w:autoSpaceDE w:val="0"/>
        <w:autoSpaceDN w:val="0"/>
        <w:spacing w:line="590" w:lineRule="exact"/>
        <w:ind w:firstLine="680" w:firstLineChars="200"/>
        <w:rPr>
          <w:rFonts w:hint="eastAsia" w:ascii="方正黑体_GBK" w:hAnsi="仿宋_GB2312" w:eastAsia="方正黑体_GBK" w:cs="仿宋_GB2312"/>
          <w:color w:val="000000" w:themeColor="text1"/>
          <w:sz w:val="34"/>
          <w:szCs w:val="34"/>
          <w14:textFill>
            <w14:solidFill>
              <w14:schemeClr w14:val="tx1"/>
            </w14:solidFill>
          </w14:textFill>
        </w:rPr>
      </w:pPr>
      <w:r>
        <w:rPr>
          <w:rFonts w:hint="eastAsia" w:ascii="方正黑体_GBK" w:hAnsi="仿宋_GB2312" w:eastAsia="方正黑体_GBK" w:cs="仿宋_GB2312"/>
          <w:color w:val="000000" w:themeColor="text1"/>
          <w:sz w:val="34"/>
          <w:szCs w:val="34"/>
          <w14:textFill>
            <w14:solidFill>
              <w14:schemeClr w14:val="tx1"/>
            </w14:solidFill>
          </w14:textFill>
        </w:rPr>
        <w:t>四、大赛流程</w:t>
      </w:r>
    </w:p>
    <w:p w14:paraId="3336DC32">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（一）征集报名</w:t>
      </w:r>
    </w:p>
    <w:p w14:paraId="5AAA364A">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1、报名时间：2025年7月下旬</w:t>
      </w:r>
      <w:r>
        <w:rPr>
          <w:rFonts w:hint="eastAsia" w:ascii="Times New Roman" w:hAnsi="Times New Roman" w:eastAsia="方正仿宋_GBK" w:cs="Times New Roman"/>
          <w:color w:val="000000" w:themeColor="text1"/>
          <w:sz w:val="34"/>
          <w:szCs w:val="34"/>
          <w14:textFill>
            <w14:solidFill>
              <w14:schemeClr w14:val="tx1"/>
            </w14:solidFill>
          </w14:textFill>
        </w:rPr>
        <w:t>-</w:t>
      </w:r>
      <w:r>
        <w:rPr>
          <w:rFonts w:ascii="Times New Roman" w:hAnsi="Times New Roman" w:eastAsia="方正仿宋_GBK" w:cs="Times New Roman"/>
          <w:color w:val="000000" w:themeColor="text1"/>
          <w:sz w:val="34"/>
          <w:szCs w:val="34"/>
          <w14:textFill>
            <w14:solidFill>
              <w14:schemeClr w14:val="tx1"/>
            </w14:solidFill>
          </w14:textFill>
        </w:rPr>
        <w:t>9月中旬</w:t>
      </w:r>
    </w:p>
    <w:p w14:paraId="4EF1A3B3">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2、报名方式：符合参赛条件的企业登录大赛官网(http://www.cxcyds.com)注册报名</w:t>
      </w:r>
      <w:r>
        <w:rPr>
          <w:rFonts w:hint="eastAsia" w:ascii="Times New Roman" w:hAnsi="Times New Roman" w:eastAsia="方正仿宋_GBK" w:cs="Times New Roman"/>
          <w:color w:val="000000" w:themeColor="text1"/>
          <w:sz w:val="34"/>
          <w:szCs w:val="34"/>
          <w:lang w:eastAsia="zh-CN"/>
          <w14:textFill>
            <w14:solidFill>
              <w14:schemeClr w14:val="tx1"/>
            </w14:solidFill>
          </w14:textFill>
        </w:rPr>
        <w:t>。</w:t>
      </w:r>
      <w:r>
        <w:rPr>
          <w:rFonts w:ascii="Times New Roman" w:hAnsi="Times New Roman" w:eastAsia="方正仿宋_GBK" w:cs="Times New Roman"/>
          <w:color w:val="000000" w:themeColor="text1"/>
          <w:sz w:val="34"/>
          <w:szCs w:val="34"/>
          <w14:textFill>
            <w14:solidFill>
              <w14:schemeClr w14:val="tx1"/>
            </w14:solidFill>
          </w14:textFill>
        </w:rPr>
        <w:t>大赛不向参赛企业收取任何费用。大赛官网是报名参赛的唯一渠道，其他报名渠道均无效。参赛企业应对报名所填信息的准确性和真实性负责。</w:t>
      </w:r>
    </w:p>
    <w:p w14:paraId="2721FCAB">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（二）资质审查</w:t>
      </w:r>
    </w:p>
    <w:p w14:paraId="5DE70283">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9月下旬，赛事组委会按照本方案确定的参赛资质、专业方向，对报名的参赛企业进行资质和技术符合性审查，符合参赛条件且提交报名材料完整的参赛企业获得参赛资格。预计整体报名项目不少于100个。</w:t>
      </w:r>
    </w:p>
    <w:p w14:paraId="025845FE">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（三）初赛</w:t>
      </w:r>
    </w:p>
    <w:p w14:paraId="0F81D20E">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1、时间：9月下旬</w:t>
      </w:r>
    </w:p>
    <w:p w14:paraId="02642016">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2、评审方式：线上书面评审</w:t>
      </w:r>
    </w:p>
    <w:p w14:paraId="562F8A90">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3、评审流程及内容：采用线上评审项目计划书的形式进行。评委遵循同单位回避的原则，为每个参赛队伍随机分配专家进行全方位线上评审，根据大赛报名情况，初赛后遴选不超过30个项目推送至本专业赛复赛。</w:t>
      </w:r>
    </w:p>
    <w:p w14:paraId="78E39459">
      <w:pPr>
        <w:overflowPunct w:val="0"/>
        <w:autoSpaceDE w:val="0"/>
        <w:autoSpaceDN w:val="0"/>
        <w:spacing w:line="590" w:lineRule="exact"/>
        <w:ind w:firstLine="680" w:firstLineChars="200"/>
        <w:rPr>
          <w:rFonts w:hint="eastAsia" w:ascii="方正楷体_GBK" w:hAnsi="楷体_GB2312" w:eastAsia="方正楷体_GBK" w:cs="楷体_GB2312"/>
          <w:color w:val="000000" w:themeColor="text1"/>
          <w:sz w:val="34"/>
          <w:szCs w:val="34"/>
          <w14:textFill>
            <w14:solidFill>
              <w14:schemeClr w14:val="tx1"/>
            </w14:solidFill>
          </w14:textFill>
        </w:rPr>
      </w:pPr>
      <w:r>
        <w:rPr>
          <w:rFonts w:hint="eastAsia" w:ascii="方正楷体_GBK" w:hAnsi="楷体_GB2312" w:eastAsia="方正楷体_GBK" w:cs="楷体_GB2312"/>
          <w:color w:val="000000" w:themeColor="text1"/>
          <w:sz w:val="34"/>
          <w:szCs w:val="34"/>
          <w14:textFill>
            <w14:solidFill>
              <w14:schemeClr w14:val="tx1"/>
            </w14:solidFill>
          </w14:textFill>
        </w:rPr>
        <w:t>（四）复赛</w:t>
      </w:r>
    </w:p>
    <w:p w14:paraId="4DBF099A">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1、时间：10月中旬</w:t>
      </w:r>
    </w:p>
    <w:p w14:paraId="34E028BF">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2、评审方式：线下封闭式路演</w:t>
      </w:r>
    </w:p>
    <w:p w14:paraId="1687EC06">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3、评审流程及内容：现场复赛采用</w:t>
      </w:r>
      <w:r>
        <w:rPr>
          <w:rFonts w:hint="eastAsia" w:ascii="Times New Roman" w:hAnsi="Times New Roman" w:eastAsia="方正仿宋_GBK" w:cs="Times New Roman"/>
          <w:color w:val="000000" w:themeColor="text1"/>
          <w:sz w:val="34"/>
          <w:szCs w:val="34"/>
          <w14:textFill>
            <w14:solidFill>
              <w14:schemeClr w14:val="tx1"/>
            </w14:solidFill>
          </w14:textFill>
        </w:rPr>
        <w:t>“</w:t>
      </w:r>
      <w:r>
        <w:rPr>
          <w:rFonts w:ascii="Times New Roman" w:hAnsi="Times New Roman" w:eastAsia="方正仿宋_GBK" w:cs="Times New Roman"/>
          <w:color w:val="000000" w:themeColor="text1"/>
          <w:sz w:val="34"/>
          <w:szCs w:val="34"/>
          <w14:textFill>
            <w14:solidFill>
              <w14:schemeClr w14:val="tx1"/>
            </w14:solidFill>
          </w14:textFill>
        </w:rPr>
        <w:t>现场答辩，当场亮分</w:t>
      </w:r>
      <w:r>
        <w:rPr>
          <w:rFonts w:hint="eastAsia" w:ascii="Times New Roman" w:hAnsi="Times New Roman" w:eastAsia="方正仿宋_GBK" w:cs="Times New Roman"/>
          <w:color w:val="000000" w:themeColor="text1"/>
          <w:sz w:val="34"/>
          <w:szCs w:val="34"/>
          <w14:textFill>
            <w14:solidFill>
              <w14:schemeClr w14:val="tx1"/>
            </w14:solidFill>
          </w14:textFill>
        </w:rPr>
        <w:t>”</w:t>
      </w:r>
      <w:r>
        <w:rPr>
          <w:rFonts w:ascii="Times New Roman" w:hAnsi="Times New Roman" w:eastAsia="方正仿宋_GBK" w:cs="Times New Roman"/>
          <w:color w:val="000000" w:themeColor="text1"/>
          <w:sz w:val="34"/>
          <w:szCs w:val="34"/>
          <w14:textFill>
            <w14:solidFill>
              <w14:schemeClr w14:val="tx1"/>
            </w14:solidFill>
          </w14:textFill>
        </w:rPr>
        <w:t>的评选方式，路演时间不超过8分钟，答辩时间不超过7分钟。邀请相关领域技术专家、投资专家担任评委。由评委针对参赛项目计划书和选手答辩打分，去掉最高分和最低分后计算出项目平均得分。参赛成绩排名现场公布。预计决赛项目为15个。</w:t>
      </w:r>
    </w:p>
    <w:p w14:paraId="77766457">
      <w:pPr>
        <w:overflowPunct w:val="0"/>
        <w:autoSpaceDE w:val="0"/>
        <w:autoSpaceDN w:val="0"/>
        <w:spacing w:line="590" w:lineRule="exact"/>
        <w:ind w:firstLine="680" w:firstLineChars="200"/>
        <w:rPr>
          <w:rFonts w:hint="eastAsia" w:ascii="方正楷体_GBK" w:hAnsi="Times New Roman" w:eastAsia="方正楷体_GBK" w:cs="Times New Roman"/>
          <w:color w:val="000000" w:themeColor="text1"/>
          <w:sz w:val="34"/>
          <w:szCs w:val="34"/>
          <w14:textFill>
            <w14:solidFill>
              <w14:schemeClr w14:val="tx1"/>
            </w14:solidFill>
          </w14:textFill>
        </w:rPr>
      </w:pPr>
      <w:r>
        <w:rPr>
          <w:rFonts w:hint="eastAsia" w:ascii="方正楷体_GBK" w:hAnsi="Times New Roman" w:eastAsia="方正楷体_GBK" w:cs="Times New Roman"/>
          <w:color w:val="000000" w:themeColor="text1"/>
          <w:sz w:val="34"/>
          <w:szCs w:val="34"/>
          <w14:textFill>
            <w14:solidFill>
              <w14:schemeClr w14:val="tx1"/>
            </w14:solidFill>
          </w14:textFill>
        </w:rPr>
        <w:t>（五）决赛</w:t>
      </w:r>
    </w:p>
    <w:p w14:paraId="13F4465C">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1、时间：10月下旬</w:t>
      </w:r>
    </w:p>
    <w:p w14:paraId="1D3BE881">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2、评审方式：现场开放式路演</w:t>
      </w:r>
    </w:p>
    <w:p w14:paraId="1E534F5E">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3、评审流程及内容：</w:t>
      </w:r>
    </w:p>
    <w:p w14:paraId="7D188CF5">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大赛组委会负责决赛组织工作，依据</w:t>
      </w:r>
      <w:r>
        <w:rPr>
          <w:rFonts w:hint="eastAsia" w:ascii="Times New Roman" w:hAnsi="Times New Roman" w:eastAsia="方正仿宋_GBK" w:cs="Times New Roman"/>
          <w:color w:val="000000" w:themeColor="text1"/>
          <w:sz w:val="34"/>
          <w:szCs w:val="34"/>
          <w14:textFill>
            <w14:solidFill>
              <w14:schemeClr w14:val="tx1"/>
            </w14:solidFill>
          </w14:textFill>
        </w:rPr>
        <w:t>“</w:t>
      </w:r>
      <w:r>
        <w:rPr>
          <w:rFonts w:ascii="Times New Roman" w:hAnsi="Times New Roman" w:eastAsia="方正仿宋_GBK" w:cs="Times New Roman"/>
          <w:color w:val="000000" w:themeColor="text1"/>
          <w:sz w:val="34"/>
          <w:szCs w:val="34"/>
          <w14:textFill>
            <w14:solidFill>
              <w14:schemeClr w14:val="tx1"/>
            </w14:solidFill>
          </w14:textFill>
        </w:rPr>
        <w:t>公平、公正、公开</w:t>
      </w:r>
      <w:r>
        <w:rPr>
          <w:rFonts w:hint="eastAsia" w:ascii="Times New Roman" w:hAnsi="Times New Roman" w:eastAsia="方正仿宋_GBK" w:cs="Times New Roman"/>
          <w:color w:val="000000" w:themeColor="text1"/>
          <w:sz w:val="34"/>
          <w:szCs w:val="34"/>
          <w14:textFill>
            <w14:solidFill>
              <w14:schemeClr w14:val="tx1"/>
            </w14:solidFill>
          </w14:textFill>
        </w:rPr>
        <w:t>”</w:t>
      </w:r>
      <w:r>
        <w:rPr>
          <w:rFonts w:ascii="Times New Roman" w:hAnsi="Times New Roman" w:eastAsia="方正仿宋_GBK" w:cs="Times New Roman"/>
          <w:color w:val="000000" w:themeColor="text1"/>
          <w:sz w:val="34"/>
          <w:szCs w:val="34"/>
          <w14:textFill>
            <w14:solidFill>
              <w14:schemeClr w14:val="tx1"/>
            </w14:solidFill>
          </w14:textFill>
        </w:rPr>
        <w:t>原则，由柔性电子领域的评审委员会成员，现场对各参赛项目进行综合评价，现场打分。由评委针对参赛项目计划书和选手答辩打分，去掉最高分和最低分后计算出项目平均得分。决赛决出一、二、三等奖及优秀创新企业奖。</w:t>
      </w:r>
    </w:p>
    <w:p w14:paraId="31E47B9B">
      <w:pPr>
        <w:overflowPunct w:val="0"/>
        <w:autoSpaceDE w:val="0"/>
        <w:autoSpaceDN w:val="0"/>
        <w:spacing w:line="590" w:lineRule="exact"/>
        <w:ind w:firstLine="680" w:firstLineChars="200"/>
        <w:rPr>
          <w:rFonts w:hint="eastAsia" w:ascii="方正楷体_GBK" w:hAnsi="仿宋_GB2312" w:eastAsia="方正楷体_GBK" w:cs="仿宋_GB2312"/>
          <w:color w:val="000000" w:themeColor="text1"/>
          <w:sz w:val="34"/>
          <w:szCs w:val="34"/>
          <w14:textFill>
            <w14:solidFill>
              <w14:schemeClr w14:val="tx1"/>
            </w14:solidFill>
          </w14:textFill>
        </w:rPr>
      </w:pPr>
      <w:r>
        <w:rPr>
          <w:rFonts w:hint="eastAsia" w:ascii="方正楷体_GBK" w:hAnsi="仿宋_GB2312" w:eastAsia="方正楷体_GBK" w:cs="仿宋_GB2312"/>
          <w:color w:val="000000" w:themeColor="text1"/>
          <w:sz w:val="34"/>
          <w:szCs w:val="34"/>
          <w14:textFill>
            <w14:solidFill>
              <w14:schemeClr w14:val="tx1"/>
            </w14:solidFill>
          </w14:textFill>
        </w:rPr>
        <w:t>（六）项目服务</w:t>
      </w:r>
    </w:p>
    <w:p w14:paraId="2566B2AA">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大赛初始报名阶段起，宣讲盐城当地产业环境及政策，切实为参赛项目提供资金、产业、场地咨询及对接服务，支持企业落地发展；大赛期间，积极与企业沟通需求，针对企业的需求安排园区走访，资金咨询等服务；大赛结束后，继续围绕参赛项目需求进行服务，吸引企业落地发展。</w:t>
      </w:r>
    </w:p>
    <w:p w14:paraId="6FE0F6ED">
      <w:pPr>
        <w:overflowPunct w:val="0"/>
        <w:autoSpaceDE w:val="0"/>
        <w:autoSpaceDN w:val="0"/>
        <w:spacing w:line="590" w:lineRule="exact"/>
        <w:ind w:firstLine="680" w:firstLineChars="200"/>
        <w:rPr>
          <w:rFonts w:hint="eastAsia" w:ascii="方正黑体_GBK" w:hAnsi="Times New Roman" w:eastAsia="方正黑体_GBK" w:cs="Times New Roman"/>
          <w:color w:val="000000" w:themeColor="text1"/>
          <w:sz w:val="34"/>
          <w:szCs w:val="34"/>
          <w14:textFill>
            <w14:solidFill>
              <w14:schemeClr w14:val="tx1"/>
            </w14:solidFill>
          </w14:textFill>
        </w:rPr>
      </w:pPr>
      <w:r>
        <w:rPr>
          <w:rFonts w:hint="eastAsia" w:ascii="方正黑体_GBK" w:hAnsi="Times New Roman" w:eastAsia="方正黑体_GBK" w:cs="Times New Roman"/>
          <w:color w:val="000000" w:themeColor="text1"/>
          <w:sz w:val="34"/>
          <w:szCs w:val="34"/>
          <w14:textFill>
            <w14:solidFill>
              <w14:schemeClr w14:val="tx1"/>
            </w14:solidFill>
          </w14:textFill>
        </w:rPr>
        <w:t>五、大赛奖项及奖金</w:t>
      </w:r>
    </w:p>
    <w:p w14:paraId="246DD3C4">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1、交通补贴：为了支持参赛项目的差旅需求，每个线下参与路演的项目将获得3000元人民币的差旅补贴。</w:t>
      </w:r>
    </w:p>
    <w:p w14:paraId="2461CED0">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2、奖项设置：设立一等奖1个、二等奖2个、三等奖3个、优胜奖若干名，分别颁发荣誉证书。一等奖奖金20万元，二等奖奖金10万元，三等奖奖金5万元。</w:t>
      </w:r>
    </w:p>
    <w:p w14:paraId="5747B569">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3、奖金发放：决赛奖励将依据落地进展分阶段发放，对非盐城的项目，</w:t>
      </w:r>
      <w:r>
        <w:rPr>
          <w:rFonts w:ascii="Times New Roman" w:hAnsi="Times New Roman" w:eastAsia="方正仿宋_GBK" w:cs="Times New Roman"/>
          <w:color w:val="000000" w:themeColor="text1"/>
          <w:sz w:val="34"/>
          <w:szCs w:val="34"/>
          <w:highlight w:val="none"/>
          <w14:textFill>
            <w14:solidFill>
              <w14:schemeClr w14:val="tx1"/>
            </w14:solidFill>
          </w14:textFill>
        </w:rPr>
        <w:t>在盐城高新区获奖后发放总奖金的30%，注册试运营后发放总奖金的30%，最后正式投入运营后发放剩余的40%奖金。</w:t>
      </w:r>
      <w:bookmarkStart w:id="3" w:name="_GoBack"/>
      <w:bookmarkEnd w:id="3"/>
    </w:p>
    <w:p w14:paraId="750771A8">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4、奖励政策：由盐城高新区管理委员会统筹相关奖励支持政策。对落户的项目，根据基金尽调情况，可给予一定金额的融资支持。</w:t>
      </w:r>
    </w:p>
    <w:p w14:paraId="39A0252E">
      <w:pPr>
        <w:overflowPunct w:val="0"/>
        <w:autoSpaceDE w:val="0"/>
        <w:autoSpaceDN w:val="0"/>
        <w:spacing w:line="590" w:lineRule="exact"/>
        <w:ind w:firstLine="680" w:firstLineChars="200"/>
        <w:rPr>
          <w:rFonts w:ascii="Times New Roman" w:hAnsi="Times New Roman" w:eastAsia="方正仿宋_GBK" w:cs="Times New Roman"/>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5、本专业赛荣誉证书由中国创新创业大赛柔性电子技术专业赛组委会办公室颁发，奖励资金由盐城高新技术产业开发区管理委员会颁发。</w:t>
      </w:r>
    </w:p>
    <w:p w14:paraId="4FBF25F5">
      <w:pPr>
        <w:overflowPunct w:val="0"/>
        <w:autoSpaceDE w:val="0"/>
        <w:autoSpaceDN w:val="0"/>
        <w:spacing w:line="590" w:lineRule="exact"/>
        <w:ind w:firstLine="680" w:firstLineChars="200"/>
        <w:rPr>
          <w:rFonts w:hint="eastAsia" w:ascii="方正黑体_GBK" w:hAnsi="仿宋_GB2312" w:eastAsia="方正黑体_GBK" w:cs="仿宋_GB2312"/>
          <w:color w:val="000000" w:themeColor="text1"/>
          <w:sz w:val="34"/>
          <w:szCs w:val="34"/>
          <w14:textFill>
            <w14:solidFill>
              <w14:schemeClr w14:val="tx1"/>
            </w14:solidFill>
          </w14:textFill>
        </w:rPr>
      </w:pPr>
      <w:r>
        <w:rPr>
          <w:rFonts w:hint="eastAsia" w:ascii="方正黑体_GBK" w:hAnsi="仿宋_GB2312" w:eastAsia="方正黑体_GBK" w:cs="仿宋_GB2312"/>
          <w:color w:val="000000" w:themeColor="text1"/>
          <w:sz w:val="34"/>
          <w:szCs w:val="34"/>
          <w14:textFill>
            <w14:solidFill>
              <w14:schemeClr w14:val="tx1"/>
            </w14:solidFill>
          </w14:textFill>
        </w:rPr>
        <w:t>六、大赛融通合作内容和方式</w:t>
      </w:r>
    </w:p>
    <w:p w14:paraId="73201672">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专业赛通过公开竞争、以赛代评的方式进行。赛事主办、承办单位依托自身创新平台、产业平台、金融平台、人才平台等创新创业资源，遵循市场机制，平等地与参赛企业进行融通合作。具体包括：</w:t>
      </w:r>
    </w:p>
    <w:p w14:paraId="310A0994">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楷体_GBK" w:hAnsi="仿宋_GB2312" w:eastAsia="方正楷体_GBK" w:cs="仿宋_GB2312"/>
          <w:color w:val="000000" w:themeColor="text1"/>
          <w:sz w:val="34"/>
          <w:szCs w:val="34"/>
          <w14:textFill>
            <w14:solidFill>
              <w14:schemeClr w14:val="tx1"/>
            </w14:solidFill>
          </w14:textFill>
        </w:rPr>
        <w:t>（一）技术成果对接。</w:t>
      </w:r>
      <w:r>
        <w:rPr>
          <w:rFonts w:hint="eastAsia" w:ascii="方正仿宋_GBK" w:hAnsi="仿宋_GB2312" w:eastAsia="方正仿宋_GBK" w:cs="仿宋_GB2312"/>
          <w:color w:val="000000" w:themeColor="text1"/>
          <w:sz w:val="34"/>
          <w:szCs w:val="34"/>
          <w14:textFill>
            <w14:solidFill>
              <w14:schemeClr w14:val="tx1"/>
            </w14:solidFill>
          </w14:textFill>
        </w:rPr>
        <w:t>组委会将联合盐城高校、科研院所、新型研发机构对晋级决赛且符合相应课题需求的参赛企业，为参赛企业提供技术服务，包括技术咨询、技术转移、技术合作等。</w:t>
      </w:r>
    </w:p>
    <w:p w14:paraId="691E3779">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楷体_GBK" w:hAnsi="仿宋_GB2312" w:eastAsia="方正楷体_GBK" w:cs="仿宋_GB2312"/>
          <w:color w:val="000000" w:themeColor="text1"/>
          <w:sz w:val="34"/>
          <w:szCs w:val="34"/>
          <w14:textFill>
            <w14:solidFill>
              <w14:schemeClr w14:val="tx1"/>
            </w14:solidFill>
          </w14:textFill>
        </w:rPr>
        <w:t>（二）供应链资源对接。</w:t>
      </w:r>
      <w:r>
        <w:rPr>
          <w:rFonts w:hint="eastAsia" w:ascii="方正仿宋_GBK" w:hAnsi="仿宋_GB2312" w:eastAsia="方正仿宋_GBK" w:cs="仿宋_GB2312"/>
          <w:color w:val="000000" w:themeColor="text1"/>
          <w:sz w:val="34"/>
          <w:szCs w:val="34"/>
          <w14:textFill>
            <w14:solidFill>
              <w14:schemeClr w14:val="tx1"/>
            </w14:solidFill>
          </w14:textFill>
        </w:rPr>
        <w:t>对晋级决赛的企业，组委会将安排举办供需对接活动，帮助参赛企业了解市场需求，寻找合作伙伴，并与盐城市龙头企业对接。</w:t>
      </w:r>
    </w:p>
    <w:p w14:paraId="47430C73">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楷体_GBK" w:hAnsi="仿宋_GB2312" w:eastAsia="方正楷体_GBK" w:cs="仿宋_GB2312"/>
          <w:color w:val="000000" w:themeColor="text1"/>
          <w:sz w:val="34"/>
          <w:szCs w:val="34"/>
          <w14:textFill>
            <w14:solidFill>
              <w14:schemeClr w14:val="tx1"/>
            </w14:solidFill>
          </w14:textFill>
        </w:rPr>
        <w:t>（三）产业投资。</w:t>
      </w:r>
      <w:bookmarkStart w:id="1" w:name="_Hlk194415762"/>
      <w:r>
        <w:rPr>
          <w:rFonts w:hint="eastAsia" w:ascii="方正仿宋_GBK" w:hAnsi="仿宋_GB2312" w:eastAsia="方正仿宋_GBK" w:cs="仿宋_GB2312"/>
          <w:color w:val="000000" w:themeColor="text1"/>
          <w:sz w:val="34"/>
          <w:szCs w:val="34"/>
          <w14:textFill>
            <w14:solidFill>
              <w14:schemeClr w14:val="tx1"/>
            </w14:solidFill>
          </w14:textFill>
        </w:rPr>
        <w:t>对晋级决赛的企业，组委会将在整体赛程期间根据项目融资等需求安排</w:t>
      </w:r>
      <w:r>
        <w:rPr>
          <w:rFonts w:ascii="Times New Roman" w:hAnsi="Times New Roman" w:eastAsia="方正仿宋_GBK" w:cs="Times New Roman"/>
          <w:color w:val="000000" w:themeColor="text1"/>
          <w:sz w:val="34"/>
          <w:szCs w:val="34"/>
          <w14:textFill>
            <w14:solidFill>
              <w14:schemeClr w14:val="tx1"/>
            </w14:solidFill>
          </w14:textFill>
        </w:rPr>
        <w:t>超20家</w:t>
      </w:r>
      <w:r>
        <w:rPr>
          <w:rFonts w:hint="eastAsia" w:ascii="方正仿宋_GBK" w:hAnsi="仿宋_GB2312" w:eastAsia="方正仿宋_GBK" w:cs="仿宋_GB2312"/>
          <w:color w:val="000000" w:themeColor="text1"/>
          <w:sz w:val="34"/>
          <w:szCs w:val="34"/>
          <w14:textFill>
            <w14:solidFill>
              <w14:schemeClr w14:val="tx1"/>
            </w14:solidFill>
          </w14:textFill>
        </w:rPr>
        <w:t>银行、产业基金、投资机构对接</w:t>
      </w:r>
      <w:bookmarkEnd w:id="1"/>
      <w:r>
        <w:rPr>
          <w:rFonts w:hint="eastAsia" w:ascii="方正仿宋_GBK" w:hAnsi="仿宋_GB2312" w:eastAsia="方正仿宋_GBK" w:cs="仿宋_GB2312"/>
          <w:color w:val="000000" w:themeColor="text1"/>
          <w:sz w:val="34"/>
          <w:szCs w:val="34"/>
          <w14:textFill>
            <w14:solidFill>
              <w14:schemeClr w14:val="tx1"/>
            </w14:solidFill>
          </w14:textFill>
        </w:rPr>
        <w:t>，引导风险投资机构关注参赛企业，为企业提供投融资渠道。</w:t>
      </w:r>
    </w:p>
    <w:p w14:paraId="72417C67">
      <w:pPr>
        <w:overflowPunct w:val="0"/>
        <w:autoSpaceDE w:val="0"/>
        <w:autoSpaceDN w:val="0"/>
        <w:spacing w:line="590" w:lineRule="exact"/>
        <w:ind w:firstLine="680" w:firstLineChars="200"/>
        <w:rPr>
          <w:rFonts w:hint="eastAsia" w:ascii="方正黑体_GBK" w:hAnsi="仿宋_GB2312" w:eastAsia="方正黑体_GBK" w:cs="仿宋_GB2312"/>
          <w:color w:val="000000" w:themeColor="text1"/>
          <w:sz w:val="34"/>
          <w:szCs w:val="34"/>
          <w14:textFill>
            <w14:solidFill>
              <w14:schemeClr w14:val="tx1"/>
            </w14:solidFill>
          </w14:textFill>
        </w:rPr>
      </w:pPr>
      <w:r>
        <w:rPr>
          <w:rFonts w:hint="eastAsia" w:ascii="方正黑体_GBK" w:hAnsi="仿宋_GB2312" w:eastAsia="方正黑体_GBK" w:cs="仿宋_GB2312"/>
          <w:color w:val="000000" w:themeColor="text1"/>
          <w:sz w:val="34"/>
          <w:szCs w:val="34"/>
          <w14:textFill>
            <w14:solidFill>
              <w14:schemeClr w14:val="tx1"/>
            </w14:solidFill>
          </w14:textFill>
        </w:rPr>
        <w:t>七、相关政策和服务</w:t>
      </w:r>
    </w:p>
    <w:p w14:paraId="554E7972">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复赛、决赛期间，将组织展览展示等活动进行相关政策的宣讲，并提供全链条的创业服务：</w:t>
      </w:r>
    </w:p>
    <w:p w14:paraId="3E95F856">
      <w:pPr>
        <w:overflowPunct w:val="0"/>
        <w:autoSpaceDE w:val="0"/>
        <w:autoSpaceDN w:val="0"/>
        <w:spacing w:line="590" w:lineRule="exact"/>
        <w:ind w:firstLine="680" w:firstLineChars="200"/>
        <w:rPr>
          <w:rFonts w:hint="eastAsia" w:ascii="方正楷体_GBK" w:hAnsi="仿宋_GB2312" w:eastAsia="方正楷体_GBK" w:cs="仿宋_GB2312"/>
          <w:color w:val="000000" w:themeColor="text1"/>
          <w:sz w:val="34"/>
          <w:szCs w:val="34"/>
          <w14:textFill>
            <w14:solidFill>
              <w14:schemeClr w14:val="tx1"/>
            </w14:solidFill>
          </w14:textFill>
        </w:rPr>
      </w:pPr>
      <w:r>
        <w:rPr>
          <w:rFonts w:hint="eastAsia" w:ascii="方正楷体_GBK" w:hAnsi="仿宋_GB2312" w:eastAsia="方正楷体_GBK" w:cs="仿宋_GB2312"/>
          <w:color w:val="000000" w:themeColor="text1"/>
          <w:sz w:val="34"/>
          <w:szCs w:val="34"/>
          <w14:textFill>
            <w14:solidFill>
              <w14:schemeClr w14:val="tx1"/>
            </w14:solidFill>
          </w14:textFill>
        </w:rPr>
        <w:t>（一）政策支持。</w:t>
      </w:r>
    </w:p>
    <w:p w14:paraId="1A64C0A1">
      <w:pPr>
        <w:overflowPunct w:val="0"/>
        <w:autoSpaceDE w:val="0"/>
        <w:autoSpaceDN w:val="0"/>
        <w:spacing w:line="590" w:lineRule="exact"/>
        <w:ind w:firstLine="680" w:firstLineChars="200"/>
        <w:rPr>
          <w:rFonts w:hint="eastAsia" w:ascii="Times New Roman" w:hAnsi="Times New Roman" w:eastAsia="方正仿宋_GBK" w:cs="Times New Roman"/>
          <w:color w:val="000000" w:themeColor="text1"/>
          <w:sz w:val="34"/>
          <w:szCs w:val="34"/>
          <w14:textFill>
            <w14:solidFill>
              <w14:schemeClr w14:val="tx1"/>
            </w14:solidFill>
          </w14:textFill>
        </w:rPr>
      </w:pPr>
      <w:r>
        <w:rPr>
          <w:rFonts w:hint="eastAsia" w:ascii="Times New Roman" w:hAnsi="Times New Roman" w:eastAsia="方正仿宋_GBK" w:cs="Times New Roman"/>
          <w:color w:val="000000" w:themeColor="text1"/>
          <w:sz w:val="34"/>
          <w:szCs w:val="34"/>
          <w14:textFill>
            <w14:solidFill>
              <w14:schemeClr w14:val="tx1"/>
            </w14:solidFill>
          </w14:textFill>
        </w:rPr>
        <w:t>1、人才政策。根据学历水平，设有梯度日常补贴及人才创业奖励，顶尖人才最高可获得3000万人才奖励；</w:t>
      </w:r>
    </w:p>
    <w:p w14:paraId="263E9B9C">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Times New Roman" w:hAnsi="Times New Roman" w:eastAsia="方正仿宋_GBK" w:cs="Times New Roman"/>
          <w:color w:val="000000" w:themeColor="text1"/>
          <w:sz w:val="34"/>
          <w:szCs w:val="34"/>
          <w14:textFill>
            <w14:solidFill>
              <w14:schemeClr w14:val="tx1"/>
            </w14:solidFill>
          </w14:textFill>
        </w:rPr>
        <w:t>2、专</w:t>
      </w:r>
      <w:r>
        <w:rPr>
          <w:rFonts w:hint="eastAsia" w:ascii="方正仿宋_GBK" w:hAnsi="仿宋_GB2312" w:eastAsia="方正仿宋_GBK" w:cs="仿宋_GB2312"/>
          <w:color w:val="000000" w:themeColor="text1"/>
          <w:sz w:val="34"/>
          <w:szCs w:val="34"/>
          <w14:textFill>
            <w14:solidFill>
              <w14:schemeClr w14:val="tx1"/>
            </w14:solidFill>
          </w14:textFill>
        </w:rPr>
        <w:t>项政策</w:t>
      </w:r>
      <w:r>
        <w:rPr>
          <w:rFonts w:hint="eastAsia" w:ascii="Times New Roman" w:hAnsi="Times New Roman" w:eastAsia="方正仿宋_GBK" w:cs="Times New Roman"/>
          <w:color w:val="000000" w:themeColor="text1"/>
          <w:sz w:val="34"/>
          <w:szCs w:val="34"/>
          <w14:textFill>
            <w14:solidFill>
              <w14:schemeClr w14:val="tx1"/>
            </w14:solidFill>
          </w14:textFill>
        </w:rPr>
        <w:t>。重点产学研、发明创造、高级科研平台等专项计划，最高可获得300万奖励；国家重大专项最高1000万奖励。</w:t>
      </w:r>
    </w:p>
    <w:p w14:paraId="4AE46F36">
      <w:pPr>
        <w:overflowPunct w:val="0"/>
        <w:autoSpaceDE w:val="0"/>
        <w:autoSpaceDN w:val="0"/>
        <w:spacing w:line="590" w:lineRule="exact"/>
        <w:ind w:firstLine="680" w:firstLineChars="200"/>
        <w:rPr>
          <w:rFonts w:hint="eastAsia" w:ascii="方正楷体_GBK" w:hAnsi="仿宋_GB2312" w:eastAsia="方正楷体_GBK" w:cs="仿宋_GB2312"/>
          <w:color w:val="000000" w:themeColor="text1"/>
          <w:sz w:val="34"/>
          <w:szCs w:val="34"/>
          <w14:textFill>
            <w14:solidFill>
              <w14:schemeClr w14:val="tx1"/>
            </w14:solidFill>
          </w14:textFill>
        </w:rPr>
      </w:pPr>
      <w:r>
        <w:rPr>
          <w:rFonts w:hint="eastAsia" w:ascii="方正楷体_GBK" w:hAnsi="仿宋_GB2312" w:eastAsia="方正楷体_GBK" w:cs="仿宋_GB2312"/>
          <w:color w:val="000000" w:themeColor="text1"/>
          <w:sz w:val="34"/>
          <w:szCs w:val="34"/>
          <w14:textFill>
            <w14:solidFill>
              <w14:schemeClr w14:val="tx1"/>
            </w14:solidFill>
          </w14:textFill>
        </w:rPr>
        <w:t>（二）创业生态。</w:t>
      </w:r>
    </w:p>
    <w:p w14:paraId="388B45A8">
      <w:pPr>
        <w:overflowPunct w:val="0"/>
        <w:autoSpaceDE w:val="0"/>
        <w:autoSpaceDN w:val="0"/>
        <w:spacing w:line="590" w:lineRule="exact"/>
        <w:ind w:firstLine="680" w:firstLineChars="200"/>
        <w:rPr>
          <w:rFonts w:hint="eastAsia" w:ascii="Times New Roman" w:hAnsi="Times New Roman" w:eastAsia="方正仿宋_GBK" w:cs="Times New Roman"/>
          <w:color w:val="000000" w:themeColor="text1"/>
          <w:sz w:val="34"/>
          <w:szCs w:val="34"/>
          <w14:textFill>
            <w14:solidFill>
              <w14:schemeClr w14:val="tx1"/>
            </w14:solidFill>
          </w14:textFill>
        </w:rPr>
      </w:pPr>
      <w:r>
        <w:rPr>
          <w:rFonts w:hint="eastAsia" w:ascii="Times New Roman" w:hAnsi="Times New Roman" w:eastAsia="方正仿宋_GBK" w:cs="Times New Roman"/>
          <w:color w:val="000000" w:themeColor="text1"/>
          <w:sz w:val="34"/>
          <w:szCs w:val="34"/>
          <w14:textFill>
            <w14:solidFill>
              <w14:schemeClr w14:val="tx1"/>
            </w14:solidFill>
          </w14:textFill>
        </w:rPr>
        <w:t>1、政府设立5000万元/年的产业按投联动资金；</w:t>
      </w:r>
    </w:p>
    <w:p w14:paraId="51FC0C1B">
      <w:pPr>
        <w:overflowPunct w:val="0"/>
        <w:autoSpaceDE w:val="0"/>
        <w:autoSpaceDN w:val="0"/>
        <w:spacing w:line="590" w:lineRule="exact"/>
        <w:ind w:firstLine="680" w:firstLineChars="200"/>
        <w:rPr>
          <w:rFonts w:hint="eastAsia" w:ascii="Times New Roman" w:hAnsi="Times New Roman" w:eastAsia="方正仿宋_GBK" w:cs="Times New Roman"/>
          <w:color w:val="000000" w:themeColor="text1"/>
          <w:sz w:val="34"/>
          <w:szCs w:val="34"/>
          <w14:textFill>
            <w14:solidFill>
              <w14:schemeClr w14:val="tx1"/>
            </w14:solidFill>
          </w14:textFill>
        </w:rPr>
      </w:pPr>
      <w:r>
        <w:rPr>
          <w:rFonts w:hint="eastAsia" w:ascii="Times New Roman" w:hAnsi="Times New Roman" w:eastAsia="方正仿宋_GBK" w:cs="Times New Roman"/>
          <w:color w:val="000000" w:themeColor="text1"/>
          <w:sz w:val="34"/>
          <w:szCs w:val="34"/>
          <w14:textFill>
            <w14:solidFill>
              <w14:schemeClr w14:val="tx1"/>
            </w14:solidFill>
          </w14:textFill>
        </w:rPr>
        <w:t>2、“都科贷”“创新积分贷”等覆盖企业全生命周期融资需求；</w:t>
      </w:r>
    </w:p>
    <w:p w14:paraId="4D694BFD">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ascii="Times New Roman" w:hAnsi="Times New Roman" w:eastAsia="方正仿宋_GBK" w:cs="Times New Roman"/>
          <w:color w:val="000000" w:themeColor="text1"/>
          <w:sz w:val="34"/>
          <w:szCs w:val="34"/>
          <w14:textFill>
            <w14:solidFill>
              <w14:schemeClr w14:val="tx1"/>
            </w14:solidFill>
          </w14:textFill>
        </w:rPr>
        <w:t>3、</w:t>
      </w:r>
      <w:r>
        <w:rPr>
          <w:rFonts w:hint="eastAsia" w:ascii="方正仿宋_GBK" w:hAnsi="仿宋_GB2312" w:eastAsia="方正仿宋_GBK" w:cs="仿宋_GB2312"/>
          <w:color w:val="000000" w:themeColor="text1"/>
          <w:sz w:val="34"/>
          <w:szCs w:val="34"/>
          <w14:textFill>
            <w14:solidFill>
              <w14:schemeClr w14:val="tx1"/>
            </w14:solidFill>
          </w14:textFill>
        </w:rPr>
        <w:t>成立柔性电子技术应用创新中心，充分发挥柔性电子全国重点实验室的优势，搭建聚才引智、成果转化、产业培育的高能级技术应用创新平台，加快推进柔性电子技术成果产业化。</w:t>
      </w:r>
    </w:p>
    <w:p w14:paraId="5B94FD21">
      <w:pPr>
        <w:overflowPunct w:val="0"/>
        <w:autoSpaceDE w:val="0"/>
        <w:autoSpaceDN w:val="0"/>
        <w:spacing w:line="590" w:lineRule="exact"/>
        <w:ind w:firstLine="680" w:firstLineChars="200"/>
        <w:rPr>
          <w:rFonts w:hint="eastAsia" w:ascii="方正楷体_GBK" w:hAnsi="仿宋_GB2312" w:eastAsia="方正楷体_GBK" w:cs="仿宋_GB2312"/>
          <w:color w:val="000000" w:themeColor="text1"/>
          <w:sz w:val="34"/>
          <w:szCs w:val="34"/>
          <w14:textFill>
            <w14:solidFill>
              <w14:schemeClr w14:val="tx1"/>
            </w14:solidFill>
          </w14:textFill>
        </w:rPr>
      </w:pPr>
      <w:r>
        <w:rPr>
          <w:rFonts w:hint="eastAsia" w:ascii="方正楷体_GBK" w:hAnsi="仿宋_GB2312" w:eastAsia="方正楷体_GBK" w:cs="仿宋_GB2312"/>
          <w:color w:val="000000" w:themeColor="text1"/>
          <w:sz w:val="34"/>
          <w:szCs w:val="34"/>
          <w14:textFill>
            <w14:solidFill>
              <w14:schemeClr w14:val="tx1"/>
            </w14:solidFill>
          </w14:textFill>
        </w:rPr>
        <w:t>（三）人才、技术、金融全链条服务</w:t>
      </w:r>
    </w:p>
    <w:p w14:paraId="7DBFBB1E">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r>
        <w:rPr>
          <w:rFonts w:hint="eastAsia" w:ascii="方正仿宋_GBK" w:hAnsi="仿宋_GB2312" w:eastAsia="方正仿宋_GBK" w:cs="仿宋_GB2312"/>
          <w:color w:val="000000" w:themeColor="text1"/>
          <w:sz w:val="34"/>
          <w:szCs w:val="34"/>
          <w14:textFill>
            <w14:solidFill>
              <w14:schemeClr w14:val="tx1"/>
            </w14:solidFill>
          </w14:textFill>
        </w:rPr>
        <w:t>组委会将组织系列活动，包括参赛项目产品展示、参赛企业与投资人对接等活动。鼓励新型创业服务机构充分发挥各自作用，积极参与大赛的相关活动，并提供创业导师、培训、融资等深度服务，为参赛企业创造对接机会。</w:t>
      </w:r>
    </w:p>
    <w:p w14:paraId="3F7A6FD3">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bookmarkStart w:id="2" w:name="_Hlk194416148"/>
      <w:r>
        <w:rPr>
          <w:rFonts w:hint="eastAsia" w:ascii="方正仿宋_GBK" w:hAnsi="仿宋_GB2312" w:eastAsia="方正仿宋_GBK" w:cs="仿宋_GB2312"/>
          <w:color w:val="000000" w:themeColor="text1"/>
          <w:sz w:val="34"/>
          <w:szCs w:val="34"/>
          <w14:textFill>
            <w14:solidFill>
              <w14:schemeClr w14:val="tx1"/>
            </w14:solidFill>
          </w14:textFill>
        </w:rPr>
        <w:t>组织主流媒体及网络新媒体在参赛企业的</w:t>
      </w:r>
      <w:bookmarkEnd w:id="2"/>
      <w:r>
        <w:rPr>
          <w:rFonts w:hint="eastAsia" w:ascii="方正仿宋_GBK" w:hAnsi="仿宋_GB2312" w:eastAsia="方正仿宋_GBK" w:cs="仿宋_GB2312"/>
          <w:color w:val="000000" w:themeColor="text1"/>
          <w:sz w:val="34"/>
          <w:szCs w:val="34"/>
          <w14:textFill>
            <w14:solidFill>
              <w14:schemeClr w14:val="tx1"/>
            </w14:solidFill>
          </w14:textFill>
        </w:rPr>
        <w:t>发展动态、技术创新成果、市场应用情况等方面针对参赛企业进行跟踪报道，促进参赛企业品牌发展。</w:t>
      </w:r>
    </w:p>
    <w:p w14:paraId="60473546">
      <w:pPr>
        <w:overflowPunct w:val="0"/>
        <w:autoSpaceDE w:val="0"/>
        <w:autoSpaceDN w:val="0"/>
        <w:spacing w:line="590" w:lineRule="exact"/>
        <w:ind w:firstLine="680" w:firstLineChars="200"/>
        <w:rPr>
          <w:rFonts w:hint="eastAsia" w:ascii="方正仿宋_GBK" w:hAnsi="仿宋_GB2312" w:eastAsia="方正仿宋_GBK" w:cs="仿宋_GB2312"/>
          <w:color w:val="000000" w:themeColor="text1"/>
          <w:sz w:val="34"/>
          <w:szCs w:val="34"/>
          <w14:textFill>
            <w14:solidFill>
              <w14:schemeClr w14:val="tx1"/>
            </w14:solidFill>
          </w14:textFill>
        </w:rPr>
      </w:pPr>
    </w:p>
    <w:sectPr>
      <w:footerReference r:id="rId3"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CB6D">
    <w:pPr>
      <w:pStyle w:val="3"/>
      <w:jc w:val="center"/>
      <w:rPr>
        <w:sz w:val="24"/>
        <w:szCs w:val="24"/>
      </w:rPr>
    </w:pPr>
    <w:sdt>
      <w:sdtPr>
        <w:rPr>
          <w:rFonts w:ascii="Times New Roman" w:hAnsi="Times New Roman" w:cs="Times New Roman"/>
          <w:sz w:val="30"/>
          <w:szCs w:val="30"/>
        </w:rPr>
        <w:id w:val="1022366710"/>
      </w:sdtPr>
      <w:sdtEndPr>
        <w:rPr>
          <w:rFonts w:ascii="Times New Roman" w:hAnsi="Times New Roman" w:cs="Times New Roman"/>
          <w:sz w:val="24"/>
          <w:szCs w:val="24"/>
        </w:rPr>
      </w:sdtEndPr>
      <w:sdtContent>
        <w:r>
          <w:rPr>
            <w:rFonts w:hint="eastAsia" w:ascii="Times New Roman" w:hAnsi="Times New Roman" w:cs="Times New Roman"/>
            <w:sz w:val="30"/>
            <w:szCs w:val="30"/>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sdtContent>
    </w:sdt>
    <w:r>
      <w:rPr>
        <w:rFonts w:hint="eastAsia" w:ascii="Times New Roman" w:hAnsi="Times New Roman" w:cs="Times New Roman"/>
        <w:sz w:val="30"/>
        <w:szCs w:val="30"/>
      </w:rPr>
      <w:t>—</w:t>
    </w:r>
  </w:p>
  <w:p w14:paraId="3525E55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BA5E14"/>
    <w:rsid w:val="0000199E"/>
    <w:rsid w:val="00001F6E"/>
    <w:rsid w:val="00004AC6"/>
    <w:rsid w:val="00010912"/>
    <w:rsid w:val="00010F8B"/>
    <w:rsid w:val="00012A29"/>
    <w:rsid w:val="00013EFC"/>
    <w:rsid w:val="00014131"/>
    <w:rsid w:val="00015B95"/>
    <w:rsid w:val="00023B44"/>
    <w:rsid w:val="00024F2F"/>
    <w:rsid w:val="00025393"/>
    <w:rsid w:val="00026C0D"/>
    <w:rsid w:val="00030559"/>
    <w:rsid w:val="000433F1"/>
    <w:rsid w:val="00051E24"/>
    <w:rsid w:val="000540B1"/>
    <w:rsid w:val="00055DC2"/>
    <w:rsid w:val="00065741"/>
    <w:rsid w:val="00065A22"/>
    <w:rsid w:val="0006680E"/>
    <w:rsid w:val="0006781E"/>
    <w:rsid w:val="00076008"/>
    <w:rsid w:val="00083403"/>
    <w:rsid w:val="000868C9"/>
    <w:rsid w:val="000909C8"/>
    <w:rsid w:val="00092608"/>
    <w:rsid w:val="00094ED0"/>
    <w:rsid w:val="000B1EA5"/>
    <w:rsid w:val="000B29B3"/>
    <w:rsid w:val="000C2F86"/>
    <w:rsid w:val="000C4FED"/>
    <w:rsid w:val="000F2270"/>
    <w:rsid w:val="000F4695"/>
    <w:rsid w:val="000F798B"/>
    <w:rsid w:val="001009D3"/>
    <w:rsid w:val="00106CBC"/>
    <w:rsid w:val="00111003"/>
    <w:rsid w:val="00122082"/>
    <w:rsid w:val="001239AC"/>
    <w:rsid w:val="00125CF1"/>
    <w:rsid w:val="00125E49"/>
    <w:rsid w:val="00132960"/>
    <w:rsid w:val="001350C9"/>
    <w:rsid w:val="00135BEF"/>
    <w:rsid w:val="00140FB5"/>
    <w:rsid w:val="00143392"/>
    <w:rsid w:val="001534CC"/>
    <w:rsid w:val="00157115"/>
    <w:rsid w:val="00157D71"/>
    <w:rsid w:val="00165B56"/>
    <w:rsid w:val="001671FB"/>
    <w:rsid w:val="00170971"/>
    <w:rsid w:val="001713A1"/>
    <w:rsid w:val="00172096"/>
    <w:rsid w:val="00172C49"/>
    <w:rsid w:val="001953AA"/>
    <w:rsid w:val="001B29F3"/>
    <w:rsid w:val="001B3B87"/>
    <w:rsid w:val="001C1440"/>
    <w:rsid w:val="001D2E9D"/>
    <w:rsid w:val="001D6E12"/>
    <w:rsid w:val="001E531A"/>
    <w:rsid w:val="001F1E05"/>
    <w:rsid w:val="001F29B7"/>
    <w:rsid w:val="001F653F"/>
    <w:rsid w:val="001F6846"/>
    <w:rsid w:val="00202731"/>
    <w:rsid w:val="002033E0"/>
    <w:rsid w:val="00204E09"/>
    <w:rsid w:val="0020703D"/>
    <w:rsid w:val="00216854"/>
    <w:rsid w:val="0022313D"/>
    <w:rsid w:val="002272CF"/>
    <w:rsid w:val="00236954"/>
    <w:rsid w:val="00253626"/>
    <w:rsid w:val="002606E4"/>
    <w:rsid w:val="002627DA"/>
    <w:rsid w:val="00262920"/>
    <w:rsid w:val="00264F7D"/>
    <w:rsid w:val="0026542D"/>
    <w:rsid w:val="00271649"/>
    <w:rsid w:val="002757B6"/>
    <w:rsid w:val="00282B11"/>
    <w:rsid w:val="002912A6"/>
    <w:rsid w:val="00291C94"/>
    <w:rsid w:val="00294466"/>
    <w:rsid w:val="00297465"/>
    <w:rsid w:val="002A16A2"/>
    <w:rsid w:val="002B1B72"/>
    <w:rsid w:val="002B335D"/>
    <w:rsid w:val="002B4050"/>
    <w:rsid w:val="002B511D"/>
    <w:rsid w:val="002D09E4"/>
    <w:rsid w:val="002D7FB5"/>
    <w:rsid w:val="002E00C2"/>
    <w:rsid w:val="002E1E34"/>
    <w:rsid w:val="002E21E3"/>
    <w:rsid w:val="002E28C9"/>
    <w:rsid w:val="002E5B8B"/>
    <w:rsid w:val="00304C91"/>
    <w:rsid w:val="00306163"/>
    <w:rsid w:val="003068F2"/>
    <w:rsid w:val="0030795C"/>
    <w:rsid w:val="00307B96"/>
    <w:rsid w:val="003114A6"/>
    <w:rsid w:val="00312CF2"/>
    <w:rsid w:val="00313DBF"/>
    <w:rsid w:val="00316C4C"/>
    <w:rsid w:val="00317456"/>
    <w:rsid w:val="003217E6"/>
    <w:rsid w:val="003241FE"/>
    <w:rsid w:val="00324B35"/>
    <w:rsid w:val="0032703A"/>
    <w:rsid w:val="003330F9"/>
    <w:rsid w:val="00333B78"/>
    <w:rsid w:val="0033448D"/>
    <w:rsid w:val="00343B69"/>
    <w:rsid w:val="00345FE0"/>
    <w:rsid w:val="003564D6"/>
    <w:rsid w:val="00367480"/>
    <w:rsid w:val="0037131A"/>
    <w:rsid w:val="0037456B"/>
    <w:rsid w:val="00375E77"/>
    <w:rsid w:val="003770DA"/>
    <w:rsid w:val="00377844"/>
    <w:rsid w:val="0038512B"/>
    <w:rsid w:val="003928AB"/>
    <w:rsid w:val="00392F28"/>
    <w:rsid w:val="00395476"/>
    <w:rsid w:val="00395547"/>
    <w:rsid w:val="00395C6B"/>
    <w:rsid w:val="00396832"/>
    <w:rsid w:val="003A765E"/>
    <w:rsid w:val="003A7BC4"/>
    <w:rsid w:val="003B4BEE"/>
    <w:rsid w:val="003B5616"/>
    <w:rsid w:val="003B6220"/>
    <w:rsid w:val="003B6899"/>
    <w:rsid w:val="003C0601"/>
    <w:rsid w:val="003C3300"/>
    <w:rsid w:val="003C58DC"/>
    <w:rsid w:val="003E10F7"/>
    <w:rsid w:val="003E2375"/>
    <w:rsid w:val="003F097D"/>
    <w:rsid w:val="003F0F7F"/>
    <w:rsid w:val="003F5CE4"/>
    <w:rsid w:val="0040034E"/>
    <w:rsid w:val="00400524"/>
    <w:rsid w:val="00403D9D"/>
    <w:rsid w:val="004063F0"/>
    <w:rsid w:val="00411F17"/>
    <w:rsid w:val="00413648"/>
    <w:rsid w:val="00413913"/>
    <w:rsid w:val="00414D9B"/>
    <w:rsid w:val="004160F1"/>
    <w:rsid w:val="00420541"/>
    <w:rsid w:val="00422185"/>
    <w:rsid w:val="00422A0B"/>
    <w:rsid w:val="00424D43"/>
    <w:rsid w:val="0043156A"/>
    <w:rsid w:val="00441C5D"/>
    <w:rsid w:val="00444626"/>
    <w:rsid w:val="004468E3"/>
    <w:rsid w:val="004554FA"/>
    <w:rsid w:val="00455CF6"/>
    <w:rsid w:val="00463102"/>
    <w:rsid w:val="004631A3"/>
    <w:rsid w:val="00470EE3"/>
    <w:rsid w:val="00472D8C"/>
    <w:rsid w:val="00475C2A"/>
    <w:rsid w:val="0048106A"/>
    <w:rsid w:val="00482187"/>
    <w:rsid w:val="00483DDD"/>
    <w:rsid w:val="00490086"/>
    <w:rsid w:val="004A2838"/>
    <w:rsid w:val="004A5B69"/>
    <w:rsid w:val="004A73A6"/>
    <w:rsid w:val="004B3B04"/>
    <w:rsid w:val="004B6529"/>
    <w:rsid w:val="004C1A71"/>
    <w:rsid w:val="004C2EB3"/>
    <w:rsid w:val="004C4BBD"/>
    <w:rsid w:val="004C6B80"/>
    <w:rsid w:val="004C72DB"/>
    <w:rsid w:val="004C7A35"/>
    <w:rsid w:val="004D2D9C"/>
    <w:rsid w:val="004D6A75"/>
    <w:rsid w:val="004E3FBC"/>
    <w:rsid w:val="004E4FF5"/>
    <w:rsid w:val="004E6858"/>
    <w:rsid w:val="004F2F2C"/>
    <w:rsid w:val="004F36F5"/>
    <w:rsid w:val="004F7384"/>
    <w:rsid w:val="005040E8"/>
    <w:rsid w:val="005073AD"/>
    <w:rsid w:val="00514EC1"/>
    <w:rsid w:val="00521479"/>
    <w:rsid w:val="00524B39"/>
    <w:rsid w:val="00544CE4"/>
    <w:rsid w:val="00544EE3"/>
    <w:rsid w:val="005471D8"/>
    <w:rsid w:val="00547893"/>
    <w:rsid w:val="00550178"/>
    <w:rsid w:val="005510EC"/>
    <w:rsid w:val="0055192D"/>
    <w:rsid w:val="00555A01"/>
    <w:rsid w:val="005571E2"/>
    <w:rsid w:val="00557FE2"/>
    <w:rsid w:val="00565C10"/>
    <w:rsid w:val="005847F2"/>
    <w:rsid w:val="005A114F"/>
    <w:rsid w:val="005A53D0"/>
    <w:rsid w:val="005A69B4"/>
    <w:rsid w:val="005B30B7"/>
    <w:rsid w:val="005C040E"/>
    <w:rsid w:val="005C5A04"/>
    <w:rsid w:val="005D148A"/>
    <w:rsid w:val="005D1E31"/>
    <w:rsid w:val="005D4A5E"/>
    <w:rsid w:val="005D55A5"/>
    <w:rsid w:val="005D624D"/>
    <w:rsid w:val="005D73D8"/>
    <w:rsid w:val="005D7BE2"/>
    <w:rsid w:val="005E08C2"/>
    <w:rsid w:val="005E322F"/>
    <w:rsid w:val="005E3BDD"/>
    <w:rsid w:val="005E5212"/>
    <w:rsid w:val="005E67D1"/>
    <w:rsid w:val="005F7DF6"/>
    <w:rsid w:val="00612E47"/>
    <w:rsid w:val="00613C8B"/>
    <w:rsid w:val="00613F8C"/>
    <w:rsid w:val="00616899"/>
    <w:rsid w:val="00620954"/>
    <w:rsid w:val="00622FE7"/>
    <w:rsid w:val="006230DE"/>
    <w:rsid w:val="00623139"/>
    <w:rsid w:val="00630962"/>
    <w:rsid w:val="00634333"/>
    <w:rsid w:val="00637F1B"/>
    <w:rsid w:val="006421BB"/>
    <w:rsid w:val="006473F7"/>
    <w:rsid w:val="006506D8"/>
    <w:rsid w:val="00652F37"/>
    <w:rsid w:val="0065300A"/>
    <w:rsid w:val="00653459"/>
    <w:rsid w:val="00653BF3"/>
    <w:rsid w:val="00653E2B"/>
    <w:rsid w:val="006549B3"/>
    <w:rsid w:val="00656141"/>
    <w:rsid w:val="006615B2"/>
    <w:rsid w:val="00661933"/>
    <w:rsid w:val="00663B4E"/>
    <w:rsid w:val="00667224"/>
    <w:rsid w:val="00667AC3"/>
    <w:rsid w:val="00671AF4"/>
    <w:rsid w:val="00680DCB"/>
    <w:rsid w:val="00681C47"/>
    <w:rsid w:val="006825C4"/>
    <w:rsid w:val="006A687D"/>
    <w:rsid w:val="006A7D46"/>
    <w:rsid w:val="006B1450"/>
    <w:rsid w:val="006B1E2B"/>
    <w:rsid w:val="006B3619"/>
    <w:rsid w:val="006B5A24"/>
    <w:rsid w:val="006B7A3C"/>
    <w:rsid w:val="006C5C3E"/>
    <w:rsid w:val="006C7DB2"/>
    <w:rsid w:val="006D2F7B"/>
    <w:rsid w:val="006E4D48"/>
    <w:rsid w:val="006F09E7"/>
    <w:rsid w:val="006F1965"/>
    <w:rsid w:val="006F282B"/>
    <w:rsid w:val="00703BC1"/>
    <w:rsid w:val="00703F3C"/>
    <w:rsid w:val="00712417"/>
    <w:rsid w:val="00714C78"/>
    <w:rsid w:val="007154C0"/>
    <w:rsid w:val="0073134E"/>
    <w:rsid w:val="007326E2"/>
    <w:rsid w:val="00734A14"/>
    <w:rsid w:val="00736C76"/>
    <w:rsid w:val="00746A3D"/>
    <w:rsid w:val="00747342"/>
    <w:rsid w:val="0075077C"/>
    <w:rsid w:val="00752723"/>
    <w:rsid w:val="007540C1"/>
    <w:rsid w:val="00756FB4"/>
    <w:rsid w:val="007635A6"/>
    <w:rsid w:val="00764E4F"/>
    <w:rsid w:val="007652C6"/>
    <w:rsid w:val="00767A51"/>
    <w:rsid w:val="00771040"/>
    <w:rsid w:val="00771B07"/>
    <w:rsid w:val="00773DA1"/>
    <w:rsid w:val="00776510"/>
    <w:rsid w:val="00780888"/>
    <w:rsid w:val="00787274"/>
    <w:rsid w:val="00787345"/>
    <w:rsid w:val="00794C09"/>
    <w:rsid w:val="007974AB"/>
    <w:rsid w:val="00797E65"/>
    <w:rsid w:val="007A1A79"/>
    <w:rsid w:val="007A46D4"/>
    <w:rsid w:val="007B1272"/>
    <w:rsid w:val="007B2788"/>
    <w:rsid w:val="007B2EA1"/>
    <w:rsid w:val="007C36EE"/>
    <w:rsid w:val="007C71E3"/>
    <w:rsid w:val="007D1FA3"/>
    <w:rsid w:val="007D2771"/>
    <w:rsid w:val="007F6DFB"/>
    <w:rsid w:val="008046BB"/>
    <w:rsid w:val="00807207"/>
    <w:rsid w:val="008104A4"/>
    <w:rsid w:val="00820040"/>
    <w:rsid w:val="0082178A"/>
    <w:rsid w:val="00822D82"/>
    <w:rsid w:val="00823E36"/>
    <w:rsid w:val="00827070"/>
    <w:rsid w:val="0082714A"/>
    <w:rsid w:val="0083216D"/>
    <w:rsid w:val="0083554C"/>
    <w:rsid w:val="00837D1F"/>
    <w:rsid w:val="00841FB4"/>
    <w:rsid w:val="00842B2E"/>
    <w:rsid w:val="00845DFB"/>
    <w:rsid w:val="00863A47"/>
    <w:rsid w:val="00867A27"/>
    <w:rsid w:val="008722E9"/>
    <w:rsid w:val="0087311A"/>
    <w:rsid w:val="00874308"/>
    <w:rsid w:val="00883B35"/>
    <w:rsid w:val="00884DDE"/>
    <w:rsid w:val="008918B6"/>
    <w:rsid w:val="008933C7"/>
    <w:rsid w:val="00896C29"/>
    <w:rsid w:val="008A23CA"/>
    <w:rsid w:val="008A42CD"/>
    <w:rsid w:val="008A4610"/>
    <w:rsid w:val="008A6836"/>
    <w:rsid w:val="008A773E"/>
    <w:rsid w:val="008B4899"/>
    <w:rsid w:val="008B7B55"/>
    <w:rsid w:val="008C334E"/>
    <w:rsid w:val="008C3F55"/>
    <w:rsid w:val="008C7CE1"/>
    <w:rsid w:val="008D383D"/>
    <w:rsid w:val="008D5696"/>
    <w:rsid w:val="008E31F5"/>
    <w:rsid w:val="008E4AF2"/>
    <w:rsid w:val="008E7A1A"/>
    <w:rsid w:val="008F5B3C"/>
    <w:rsid w:val="00901FC8"/>
    <w:rsid w:val="00911799"/>
    <w:rsid w:val="00914034"/>
    <w:rsid w:val="009177C5"/>
    <w:rsid w:val="009247FD"/>
    <w:rsid w:val="00925083"/>
    <w:rsid w:val="009344CC"/>
    <w:rsid w:val="00937582"/>
    <w:rsid w:val="0094207D"/>
    <w:rsid w:val="009459A2"/>
    <w:rsid w:val="0095117D"/>
    <w:rsid w:val="00951A58"/>
    <w:rsid w:val="009551CA"/>
    <w:rsid w:val="00957A1B"/>
    <w:rsid w:val="0096114B"/>
    <w:rsid w:val="00964295"/>
    <w:rsid w:val="0096534C"/>
    <w:rsid w:val="0096594C"/>
    <w:rsid w:val="0097308D"/>
    <w:rsid w:val="00973C69"/>
    <w:rsid w:val="009746CB"/>
    <w:rsid w:val="009757A5"/>
    <w:rsid w:val="00981AA8"/>
    <w:rsid w:val="00982094"/>
    <w:rsid w:val="00983C1F"/>
    <w:rsid w:val="00986C38"/>
    <w:rsid w:val="00987F8A"/>
    <w:rsid w:val="0099661D"/>
    <w:rsid w:val="009A118B"/>
    <w:rsid w:val="009A5E50"/>
    <w:rsid w:val="009A73EC"/>
    <w:rsid w:val="009C04F2"/>
    <w:rsid w:val="009C062D"/>
    <w:rsid w:val="009C14AE"/>
    <w:rsid w:val="009C1A86"/>
    <w:rsid w:val="009C5ABF"/>
    <w:rsid w:val="009C730F"/>
    <w:rsid w:val="009D2E6B"/>
    <w:rsid w:val="009D7CD4"/>
    <w:rsid w:val="009E7CF1"/>
    <w:rsid w:val="009E7FE0"/>
    <w:rsid w:val="009F30D5"/>
    <w:rsid w:val="009F4B61"/>
    <w:rsid w:val="00A10E2E"/>
    <w:rsid w:val="00A13BDA"/>
    <w:rsid w:val="00A15CDC"/>
    <w:rsid w:val="00A16EF0"/>
    <w:rsid w:val="00A1772A"/>
    <w:rsid w:val="00A177A2"/>
    <w:rsid w:val="00A20F27"/>
    <w:rsid w:val="00A260E4"/>
    <w:rsid w:val="00A26784"/>
    <w:rsid w:val="00A269A3"/>
    <w:rsid w:val="00A30D06"/>
    <w:rsid w:val="00A32026"/>
    <w:rsid w:val="00A327BF"/>
    <w:rsid w:val="00A330A9"/>
    <w:rsid w:val="00A36551"/>
    <w:rsid w:val="00A425D3"/>
    <w:rsid w:val="00A4499E"/>
    <w:rsid w:val="00A50B90"/>
    <w:rsid w:val="00A55A9E"/>
    <w:rsid w:val="00A61238"/>
    <w:rsid w:val="00A634E3"/>
    <w:rsid w:val="00A64EAD"/>
    <w:rsid w:val="00A75463"/>
    <w:rsid w:val="00A80337"/>
    <w:rsid w:val="00A80893"/>
    <w:rsid w:val="00A81CC5"/>
    <w:rsid w:val="00A8527F"/>
    <w:rsid w:val="00A86B85"/>
    <w:rsid w:val="00A87B41"/>
    <w:rsid w:val="00A94D86"/>
    <w:rsid w:val="00A97E3A"/>
    <w:rsid w:val="00AA03B0"/>
    <w:rsid w:val="00AA1346"/>
    <w:rsid w:val="00AA220C"/>
    <w:rsid w:val="00AA33A8"/>
    <w:rsid w:val="00AA4A8F"/>
    <w:rsid w:val="00AB2C77"/>
    <w:rsid w:val="00AB3DF9"/>
    <w:rsid w:val="00AB783D"/>
    <w:rsid w:val="00AC296F"/>
    <w:rsid w:val="00AC2B8F"/>
    <w:rsid w:val="00AD564D"/>
    <w:rsid w:val="00AD5ACC"/>
    <w:rsid w:val="00AD6B1B"/>
    <w:rsid w:val="00AE14C5"/>
    <w:rsid w:val="00AE1897"/>
    <w:rsid w:val="00AE452E"/>
    <w:rsid w:val="00AE47D5"/>
    <w:rsid w:val="00AE49CC"/>
    <w:rsid w:val="00AE7D7A"/>
    <w:rsid w:val="00AF0B11"/>
    <w:rsid w:val="00B019FD"/>
    <w:rsid w:val="00B01CB5"/>
    <w:rsid w:val="00B06D97"/>
    <w:rsid w:val="00B07DB2"/>
    <w:rsid w:val="00B1227F"/>
    <w:rsid w:val="00B150C9"/>
    <w:rsid w:val="00B15836"/>
    <w:rsid w:val="00B23EF5"/>
    <w:rsid w:val="00B3323E"/>
    <w:rsid w:val="00B35A1E"/>
    <w:rsid w:val="00B35E12"/>
    <w:rsid w:val="00B3695C"/>
    <w:rsid w:val="00B407A1"/>
    <w:rsid w:val="00B43806"/>
    <w:rsid w:val="00B453E1"/>
    <w:rsid w:val="00B51634"/>
    <w:rsid w:val="00B518DC"/>
    <w:rsid w:val="00B51AF7"/>
    <w:rsid w:val="00B558B4"/>
    <w:rsid w:val="00B63CFC"/>
    <w:rsid w:val="00B66CBF"/>
    <w:rsid w:val="00B71D49"/>
    <w:rsid w:val="00B71FE3"/>
    <w:rsid w:val="00B738BA"/>
    <w:rsid w:val="00B83311"/>
    <w:rsid w:val="00B8506A"/>
    <w:rsid w:val="00B9351F"/>
    <w:rsid w:val="00B95419"/>
    <w:rsid w:val="00BA235E"/>
    <w:rsid w:val="00BA3E5A"/>
    <w:rsid w:val="00BB0185"/>
    <w:rsid w:val="00BB27BE"/>
    <w:rsid w:val="00BB6558"/>
    <w:rsid w:val="00BC003F"/>
    <w:rsid w:val="00BC5FB9"/>
    <w:rsid w:val="00BD36D4"/>
    <w:rsid w:val="00BD4065"/>
    <w:rsid w:val="00BD502F"/>
    <w:rsid w:val="00BE1995"/>
    <w:rsid w:val="00BE3084"/>
    <w:rsid w:val="00BE6D6A"/>
    <w:rsid w:val="00BF16A9"/>
    <w:rsid w:val="00BF5449"/>
    <w:rsid w:val="00BF57EC"/>
    <w:rsid w:val="00BF73F1"/>
    <w:rsid w:val="00C01AAA"/>
    <w:rsid w:val="00C14421"/>
    <w:rsid w:val="00C15A37"/>
    <w:rsid w:val="00C219F1"/>
    <w:rsid w:val="00C2541A"/>
    <w:rsid w:val="00C27B0A"/>
    <w:rsid w:val="00C30F5B"/>
    <w:rsid w:val="00C470BC"/>
    <w:rsid w:val="00C47C2E"/>
    <w:rsid w:val="00C51FD3"/>
    <w:rsid w:val="00C53777"/>
    <w:rsid w:val="00C5622F"/>
    <w:rsid w:val="00C60D99"/>
    <w:rsid w:val="00C63C3C"/>
    <w:rsid w:val="00C65822"/>
    <w:rsid w:val="00C7150E"/>
    <w:rsid w:val="00C753AE"/>
    <w:rsid w:val="00C75B1E"/>
    <w:rsid w:val="00C75F9A"/>
    <w:rsid w:val="00C76187"/>
    <w:rsid w:val="00C7639A"/>
    <w:rsid w:val="00C7765E"/>
    <w:rsid w:val="00C7771C"/>
    <w:rsid w:val="00C846A5"/>
    <w:rsid w:val="00C87E85"/>
    <w:rsid w:val="00C92361"/>
    <w:rsid w:val="00CA14CB"/>
    <w:rsid w:val="00CA1834"/>
    <w:rsid w:val="00CA4424"/>
    <w:rsid w:val="00CA65BA"/>
    <w:rsid w:val="00CA6A46"/>
    <w:rsid w:val="00CB4BB2"/>
    <w:rsid w:val="00CB5DFA"/>
    <w:rsid w:val="00CB7983"/>
    <w:rsid w:val="00CD6AEB"/>
    <w:rsid w:val="00CE07A4"/>
    <w:rsid w:val="00CE15FF"/>
    <w:rsid w:val="00CE40CA"/>
    <w:rsid w:val="00CE6DF0"/>
    <w:rsid w:val="00CE7535"/>
    <w:rsid w:val="00CF0F78"/>
    <w:rsid w:val="00D1066F"/>
    <w:rsid w:val="00D127DF"/>
    <w:rsid w:val="00D20ADD"/>
    <w:rsid w:val="00D21068"/>
    <w:rsid w:val="00D330B6"/>
    <w:rsid w:val="00D33504"/>
    <w:rsid w:val="00D34B19"/>
    <w:rsid w:val="00D354FC"/>
    <w:rsid w:val="00D36D3A"/>
    <w:rsid w:val="00D41FCC"/>
    <w:rsid w:val="00D43AF7"/>
    <w:rsid w:val="00D44162"/>
    <w:rsid w:val="00D51487"/>
    <w:rsid w:val="00D5212D"/>
    <w:rsid w:val="00D5218E"/>
    <w:rsid w:val="00D5707B"/>
    <w:rsid w:val="00D62521"/>
    <w:rsid w:val="00D638FE"/>
    <w:rsid w:val="00D67A74"/>
    <w:rsid w:val="00D71EF0"/>
    <w:rsid w:val="00D73BE6"/>
    <w:rsid w:val="00D7508F"/>
    <w:rsid w:val="00D76C58"/>
    <w:rsid w:val="00D8547E"/>
    <w:rsid w:val="00D91E4E"/>
    <w:rsid w:val="00DA01FD"/>
    <w:rsid w:val="00DA2684"/>
    <w:rsid w:val="00DA3A9F"/>
    <w:rsid w:val="00DA51A2"/>
    <w:rsid w:val="00DA5E33"/>
    <w:rsid w:val="00DB028D"/>
    <w:rsid w:val="00DB27C4"/>
    <w:rsid w:val="00DB5F0C"/>
    <w:rsid w:val="00DB6BC6"/>
    <w:rsid w:val="00DC33BC"/>
    <w:rsid w:val="00DC3E4D"/>
    <w:rsid w:val="00DC7EAF"/>
    <w:rsid w:val="00DD3117"/>
    <w:rsid w:val="00DD3FFD"/>
    <w:rsid w:val="00DE010C"/>
    <w:rsid w:val="00DE2837"/>
    <w:rsid w:val="00DE401A"/>
    <w:rsid w:val="00E0119F"/>
    <w:rsid w:val="00E016BA"/>
    <w:rsid w:val="00E105E9"/>
    <w:rsid w:val="00E1793A"/>
    <w:rsid w:val="00E21508"/>
    <w:rsid w:val="00E233A3"/>
    <w:rsid w:val="00E24298"/>
    <w:rsid w:val="00E43470"/>
    <w:rsid w:val="00E45A8F"/>
    <w:rsid w:val="00E55733"/>
    <w:rsid w:val="00E6254E"/>
    <w:rsid w:val="00E6331B"/>
    <w:rsid w:val="00E63FE5"/>
    <w:rsid w:val="00E67C08"/>
    <w:rsid w:val="00E71333"/>
    <w:rsid w:val="00E71A25"/>
    <w:rsid w:val="00E730C1"/>
    <w:rsid w:val="00E82C18"/>
    <w:rsid w:val="00E90833"/>
    <w:rsid w:val="00E916FA"/>
    <w:rsid w:val="00E934E1"/>
    <w:rsid w:val="00EA1F53"/>
    <w:rsid w:val="00EA2122"/>
    <w:rsid w:val="00EA3660"/>
    <w:rsid w:val="00EA6888"/>
    <w:rsid w:val="00EB5E3B"/>
    <w:rsid w:val="00EC1066"/>
    <w:rsid w:val="00EC4EA3"/>
    <w:rsid w:val="00EC62AF"/>
    <w:rsid w:val="00ED2CD7"/>
    <w:rsid w:val="00ED77ED"/>
    <w:rsid w:val="00EE1C3A"/>
    <w:rsid w:val="00EE69AC"/>
    <w:rsid w:val="00EF0F87"/>
    <w:rsid w:val="00EF36ED"/>
    <w:rsid w:val="00EF3CA1"/>
    <w:rsid w:val="00EF4229"/>
    <w:rsid w:val="00EF53CB"/>
    <w:rsid w:val="00F14628"/>
    <w:rsid w:val="00F148B8"/>
    <w:rsid w:val="00F15929"/>
    <w:rsid w:val="00F26AAF"/>
    <w:rsid w:val="00F327C1"/>
    <w:rsid w:val="00F35566"/>
    <w:rsid w:val="00F35B75"/>
    <w:rsid w:val="00F53F58"/>
    <w:rsid w:val="00F60972"/>
    <w:rsid w:val="00F631F1"/>
    <w:rsid w:val="00F730B9"/>
    <w:rsid w:val="00F74FB3"/>
    <w:rsid w:val="00F8021E"/>
    <w:rsid w:val="00F81291"/>
    <w:rsid w:val="00F840B3"/>
    <w:rsid w:val="00F97CE0"/>
    <w:rsid w:val="00FA561B"/>
    <w:rsid w:val="00FB0E96"/>
    <w:rsid w:val="00FB751A"/>
    <w:rsid w:val="00FB7EED"/>
    <w:rsid w:val="00FC70CB"/>
    <w:rsid w:val="00FD1169"/>
    <w:rsid w:val="00FD4D40"/>
    <w:rsid w:val="00FD5E29"/>
    <w:rsid w:val="00FD6926"/>
    <w:rsid w:val="00FE21FF"/>
    <w:rsid w:val="00FE5DB6"/>
    <w:rsid w:val="00FF1DB2"/>
    <w:rsid w:val="00FF2C12"/>
    <w:rsid w:val="00FF461B"/>
    <w:rsid w:val="00FF778E"/>
    <w:rsid w:val="02A67396"/>
    <w:rsid w:val="0D3C2656"/>
    <w:rsid w:val="165617D9"/>
    <w:rsid w:val="1E591216"/>
    <w:rsid w:val="1F664E2A"/>
    <w:rsid w:val="1FDC31F1"/>
    <w:rsid w:val="22AF37F5"/>
    <w:rsid w:val="2BC738DA"/>
    <w:rsid w:val="32BF3129"/>
    <w:rsid w:val="38DA3674"/>
    <w:rsid w:val="3A961C96"/>
    <w:rsid w:val="3F484A5E"/>
    <w:rsid w:val="402A328C"/>
    <w:rsid w:val="482F580F"/>
    <w:rsid w:val="49253A65"/>
    <w:rsid w:val="4CE330B9"/>
    <w:rsid w:val="53721305"/>
    <w:rsid w:val="55822F90"/>
    <w:rsid w:val="59353EB8"/>
    <w:rsid w:val="5B4C34D8"/>
    <w:rsid w:val="5B685104"/>
    <w:rsid w:val="6AEC0287"/>
    <w:rsid w:val="6BC80A5E"/>
    <w:rsid w:val="6CFC1D4B"/>
    <w:rsid w:val="71687589"/>
    <w:rsid w:val="75AB0989"/>
    <w:rsid w:val="761859B7"/>
    <w:rsid w:val="7ABA5E14"/>
    <w:rsid w:val="FA6F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26E5" w:themeColor="hyperlink"/>
      <w:u w:val="single"/>
      <w14:textFill>
        <w14:solidFill>
          <w14:schemeClr w14:val="hlink"/>
        </w14:solidFill>
      </w14:textFill>
    </w:rPr>
  </w:style>
  <w:style w:type="character" w:styleId="10">
    <w:name w:val="annotation reference"/>
    <w:basedOn w:val="8"/>
    <w:qFormat/>
    <w:uiPriority w:val="0"/>
    <w:rPr>
      <w:sz w:val="21"/>
      <w:szCs w:val="21"/>
    </w:rPr>
  </w:style>
  <w:style w:type="paragraph" w:styleId="11">
    <w:name w:val="List Paragraph"/>
    <w:basedOn w:val="1"/>
    <w:unhideWhenUsed/>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99"/>
    <w:rPr>
      <w:rFonts w:asciiTheme="minorHAnsi" w:hAnsiTheme="minorHAnsi" w:eastAsiaTheme="minorEastAsia" w:cstheme="minorBidi"/>
      <w:kern w:val="2"/>
      <w:sz w:val="18"/>
      <w:szCs w:val="18"/>
    </w:rPr>
  </w:style>
  <w:style w:type="character" w:customStyle="1" w:styleId="14">
    <w:name w:val="未处理的提及1"/>
    <w:basedOn w:val="8"/>
    <w:semiHidden/>
    <w:unhideWhenUsed/>
    <w:qFormat/>
    <w:uiPriority w:val="99"/>
    <w:rPr>
      <w:color w:val="605E5C"/>
      <w:shd w:val="clear" w:color="auto" w:fill="E1DFDD"/>
    </w:rPr>
  </w:style>
  <w:style w:type="paragraph" w:customStyle="1" w:styleId="15">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3600</Words>
  <Characters>3711</Characters>
  <Lines>161</Lines>
  <Paragraphs>141</Paragraphs>
  <TotalTime>30</TotalTime>
  <ScaleCrop>false</ScaleCrop>
  <LinksUpToDate>false</LinksUpToDate>
  <CharactersWithSpaces>3711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2025-07-30T07:36:00Z</dcterms:created>
  <dc:creator>宁小敏 Arya</dc:creator>
  <cp:lastModifiedBy>Erin </cp:lastModifiedBy>
  <cp:lastPrinted>2025-07-30T07:35:00Z</cp:lastPrinted>
  <dcterms:modified xsi:type="dcterms:W3CDTF">2025-07-30T10:25:24Z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BD54F5448C7D489F93308C42E6536E46_13</vt:lpwstr>
  </property>
  <property fmtid="{D5CDD505-2E9C-101B-9397-08002B2CF9AE}" pid="4" name="KSOTemplateDocerSaveRecord">
    <vt:lpwstr>eyJoZGlkIjoiNTA3NTBmYWRiZDQ0ZWI2ZTIwM2JmZTU1Mjc1ZGNiY2YiLCJ1c2VySWQiOiI0MDU5OTIxNTUifQ==</vt:lpwstr>
  </property>
</Properties>
</file>